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DF" w:rsidRPr="002F2EDF" w:rsidRDefault="002F2EDF" w:rsidP="002F2EDF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pacing w:val="60"/>
          <w:sz w:val="56"/>
          <w:szCs w:val="28"/>
          <w:u w:val="single"/>
          <w:lang w:eastAsia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F2EDF">
        <w:rPr>
          <w:rFonts w:eastAsia="Times New Roman" w:cs="Arial"/>
          <w:b/>
          <w:color w:val="000000" w:themeColor="text1"/>
          <w:spacing w:val="60"/>
          <w:sz w:val="56"/>
          <w:szCs w:val="28"/>
          <w:u w:val="single"/>
          <w:lang w:eastAsia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LA QUINUA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6F41B9" w:rsidRPr="002F2EDF" w:rsidRDefault="009912EA" w:rsidP="002F2EDF">
      <w:pPr>
        <w:spacing w:after="0" w:line="360" w:lineRule="auto"/>
        <w:jc w:val="both"/>
        <w:rPr>
          <w:rFonts w:eastAsia="Times New Roman" w:cs="Arial"/>
          <w:b/>
          <w:color w:val="FF0000"/>
          <w:sz w:val="28"/>
          <w:szCs w:val="28"/>
          <w:u w:val="single"/>
          <w:lang w:eastAsia="es-ES"/>
        </w:rPr>
      </w:pPr>
      <w:r w:rsidRPr="002F2EDF">
        <w:rPr>
          <w:rFonts w:eastAsia="Times New Roman" w:cs="Arial"/>
          <w:b/>
          <w:color w:val="FF0000"/>
          <w:sz w:val="28"/>
          <w:szCs w:val="28"/>
          <w:u w:val="single"/>
          <w:lang w:eastAsia="es-ES"/>
        </w:rPr>
        <w:t>INTRODUCCIÒN</w:t>
      </w:r>
    </w:p>
    <w:p w:rsidR="006F41B9" w:rsidRPr="002F2EDF" w:rsidRDefault="006F41B9" w:rsidP="002F2EDF">
      <w:pPr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6F41B9" w:rsidRPr="002F2EDF" w:rsidRDefault="009912EA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>Era conocido como el "cereal madre" por su importancia. Cada año, el Inca, en una ceremonia especial, plantaba las primeras semillas de la temporada y durante el solsticio, los sacerdotes llevando vasijas de oro llenas de quinua se las ofrecían al Inti, el Dios Sol.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lang w:eastAsia="es-ES"/>
        </w:rPr>
      </w:pPr>
    </w:p>
    <w:p w:rsidR="006F41B9" w:rsidRPr="002F2EDF" w:rsidRDefault="002F2EDF" w:rsidP="002F2EDF">
      <w:pPr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153CCCC0" wp14:editId="5887935A">
            <wp:simplePos x="0" y="0"/>
            <wp:positionH relativeFrom="column">
              <wp:posOffset>3902710</wp:posOffset>
            </wp:positionH>
            <wp:positionV relativeFrom="paragraph">
              <wp:posOffset>431890</wp:posOffset>
            </wp:positionV>
            <wp:extent cx="1218565" cy="913130"/>
            <wp:effectExtent l="114300" t="152400" r="76835" b="153670"/>
            <wp:wrapNone/>
            <wp:docPr id="9222" name="Picture 6" descr="Resultado de imagen para quinua en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Picture 6" descr="Resultado de imagen para quinua en boliv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6489">
                      <a:off x="0" y="0"/>
                      <a:ext cx="1218565" cy="9131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 xml:space="preserve">La quinua o </w:t>
      </w:r>
      <w:proofErr w:type="spellStart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>quinoa</w:t>
      </w:r>
      <w:proofErr w:type="spellEnd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 xml:space="preserve"> (del quechua kínua1 o </w:t>
      </w:r>
      <w:proofErr w:type="gramStart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>kinuwa2 )</w:t>
      </w:r>
      <w:proofErr w:type="gramEnd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 xml:space="preserve">, </w:t>
      </w:r>
      <w:proofErr w:type="spellStart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>Chenopodium</w:t>
      </w:r>
      <w:proofErr w:type="spellEnd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 xml:space="preserve"> </w:t>
      </w:r>
      <w:proofErr w:type="spellStart"/>
      <w:r w:rsidR="009912EA" w:rsidRPr="002F2EDF">
        <w:rPr>
          <w:rFonts w:eastAsia="Times New Roman" w:cs="Arial"/>
          <w:b/>
          <w:color w:val="000000" w:themeColor="text1"/>
          <w:sz w:val="28"/>
          <w:szCs w:val="28"/>
          <w:lang w:eastAsia="es-ES"/>
        </w:rPr>
        <w:t>quinoa</w:t>
      </w:r>
      <w:proofErr w:type="spellEnd"/>
    </w:p>
    <w:p w:rsidR="009912EA" w:rsidRPr="002F2EDF" w:rsidRDefault="009912EA" w:rsidP="002F2EDF">
      <w:pPr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lang w:eastAsia="es-ES"/>
        </w:rPr>
      </w:pPr>
      <w:r w:rsidRPr="002F2EDF">
        <w:rPr>
          <w:rFonts w:cs="Arial"/>
          <w:noProof/>
          <w:color w:val="000000" w:themeColor="tex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47D78" wp14:editId="1B4E52E4">
                <wp:simplePos x="0" y="0"/>
                <wp:positionH relativeFrom="column">
                  <wp:posOffset>1876425</wp:posOffset>
                </wp:positionH>
                <wp:positionV relativeFrom="paragraph">
                  <wp:posOffset>181610</wp:posOffset>
                </wp:positionV>
                <wp:extent cx="408305" cy="217170"/>
                <wp:effectExtent l="19368" t="0" r="30162" b="30163"/>
                <wp:wrapNone/>
                <wp:docPr id="7" name="6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21717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6 Flecha a la derecha con bandas" o:spid="_x0000_s1026" type="#_x0000_t93" style="position:absolute;margin-left:147.75pt;margin-top:14.3pt;width:32.15pt;height:17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" adj="15856" fillcolor="#c0504d [3205]" strokecolor="#622423 [1605]" strokeweight="2pt"/>
            </w:pict>
          </mc:Fallback>
        </mc:AlternateContent>
      </w:r>
    </w:p>
    <w:p w:rsidR="006F41B9" w:rsidRPr="002F2EDF" w:rsidRDefault="006F41B9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6F41B9" w:rsidRPr="002F2EDF" w:rsidRDefault="006F41B9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>es</w:t>
      </w:r>
      <w:proofErr w:type="gramEnd"/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 un </w:t>
      </w:r>
      <w:hyperlink r:id="rId8" w:history="1">
        <w:proofErr w:type="spellStart"/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pseudocereal</w:t>
        </w:r>
        <w:proofErr w:type="spellEnd"/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 perteneciente a la subfamilia </w:t>
      </w:r>
      <w:hyperlink r:id="rId9" w:history="1">
        <w:proofErr w:type="spellStart"/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Chenopodioideae</w:t>
        </w:r>
        <w:proofErr w:type="spellEnd"/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 de las </w:t>
      </w:r>
      <w:hyperlink r:id="rId10" w:history="1"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amarantáceas</w:t>
        </w:r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. Se cultiva, principalmente, en la </w:t>
      </w:r>
      <w:hyperlink r:id="rId11" w:history="1"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cordillera de los Andes</w:t>
        </w:r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. Los principales países productores son </w:t>
      </w:r>
      <w:hyperlink r:id="rId12" w:history="1"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Bolivia</w:t>
        </w:r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 xml:space="preserve"> y </w:t>
      </w:r>
      <w:hyperlink r:id="rId13" w:history="1">
        <w:r w:rsidRPr="002F2EDF">
          <w:rPr>
            <w:rStyle w:val="Hipervnculo"/>
            <w:rFonts w:ascii="Arial" w:eastAsiaTheme="minorEastAsia" w:hAnsi="Arial" w:cs="Arial"/>
            <w:i/>
            <w:iCs/>
            <w:color w:val="000000" w:themeColor="text1"/>
            <w:kern w:val="24"/>
            <w:sz w:val="28"/>
            <w:szCs w:val="28"/>
          </w:rPr>
          <w:t>Perú</w:t>
        </w:r>
      </w:hyperlink>
      <w:r w:rsidRPr="002F2EDF">
        <w:rPr>
          <w:rFonts w:ascii="Arial" w:eastAsiaTheme="minorEastAsia" w:hAnsi="Arial" w:cs="Arial"/>
          <w:i/>
          <w:iCs/>
          <w:color w:val="000000" w:themeColor="text1"/>
          <w:kern w:val="24"/>
          <w:sz w:val="28"/>
          <w:szCs w:val="28"/>
        </w:rPr>
        <w:t>.</w:t>
      </w:r>
    </w:p>
    <w:p w:rsidR="006F41B9" w:rsidRPr="002F2EDF" w:rsidRDefault="006F41B9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6F41B9" w:rsidRPr="002F2EDF" w:rsidRDefault="009912EA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FF0000"/>
          <w:sz w:val="28"/>
          <w:szCs w:val="28"/>
          <w:u w:val="single"/>
          <w:lang w:eastAsia="es-ES"/>
        </w:rPr>
      </w:pPr>
      <w:r w:rsidRPr="002F2EDF">
        <w:rPr>
          <w:rFonts w:eastAsiaTheme="majorEastAsia" w:cs="Arial"/>
          <w:color w:val="FF0000"/>
          <w:kern w:val="24"/>
          <w:sz w:val="28"/>
          <w:szCs w:val="28"/>
          <w:lang w:val="es-BO"/>
        </w:rPr>
        <w:t>Cultivo……..</w:t>
      </w:r>
    </w:p>
    <w:p w:rsidR="006F41B9" w:rsidRPr="002F2EDF" w:rsidRDefault="006F41B9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La quinua se cultiva en los Andes bolivianos, peruanos, ecuatorianos, chilenos y colombianos, así como al nivel del mar en la zona centro sur de Chile, desde hace unos 5000 años.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eastAsiaTheme="minorEastAsia" w:cs="Arial"/>
          <w:color w:val="000000" w:themeColor="text1"/>
          <w:kern w:val="24"/>
          <w:sz w:val="28"/>
          <w:szCs w:val="28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</w:rPr>
        <w:t>Crece desde el nivel del mar hasta los 4000 m de altitud en los Andes, aunque su altura más común es a partir de los 2500 m</w:t>
      </w:r>
      <w:r w:rsidRPr="002F2EDF">
        <w:rPr>
          <w:rFonts w:eastAsiaTheme="minorEastAsia" w:cs="Arial"/>
          <w:color w:val="000000" w:themeColor="text1"/>
          <w:kern w:val="24"/>
          <w:sz w:val="28"/>
          <w:szCs w:val="28"/>
        </w:rPr>
        <w:t>.</w:t>
      </w:r>
    </w:p>
    <w:p w:rsidR="006F41B9" w:rsidRPr="002F2EDF" w:rsidRDefault="009912EA" w:rsidP="002F2EDF">
      <w:pPr>
        <w:pStyle w:val="Prrafodelista"/>
        <w:spacing w:after="0" w:line="360" w:lineRule="auto"/>
        <w:jc w:val="both"/>
        <w:rPr>
          <w:rFonts w:eastAsia="Times New Roman" w:cs="Arial"/>
          <w:b/>
          <w:color w:val="FF0000"/>
          <w:sz w:val="28"/>
          <w:szCs w:val="28"/>
          <w:u w:val="single"/>
          <w:lang w:eastAsia="es-ES"/>
        </w:rPr>
      </w:pPr>
      <w:r w:rsidRPr="002F2EDF">
        <w:rPr>
          <w:rFonts w:eastAsiaTheme="majorEastAsia" w:cs="Arial"/>
          <w:color w:val="FF0000"/>
          <w:kern w:val="24"/>
          <w:sz w:val="28"/>
          <w:szCs w:val="28"/>
          <w:lang w:val="es-BO"/>
        </w:rPr>
        <w:lastRenderedPageBreak/>
        <w:t>Producción,……..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El altiplano </w:t>
      </w:r>
      <w:hyperlink r:id="rId14" w:history="1">
        <w:r w:rsidRPr="002F2EDF">
          <w:rPr>
            <w:rStyle w:val="Hipervnculo"/>
            <w:rFonts w:ascii="Arial" w:eastAsiaTheme="minorEastAsia" w:hAnsi="Arial" w:cs="Arial"/>
            <w:color w:val="000000" w:themeColor="text1"/>
            <w:kern w:val="24"/>
            <w:sz w:val="28"/>
            <w:szCs w:val="28"/>
          </w:rPr>
          <w:t>boliviano</w:t>
        </w:r>
      </w:hyperlink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, con un área sembrada, en el año 2013, de 104 000 </w:t>
      </w:r>
      <w:hyperlink r:id="rId15" w:history="1">
        <w:r w:rsidRPr="002F2EDF">
          <w:rPr>
            <w:rStyle w:val="Hipervnculo"/>
            <w:rFonts w:ascii="Arial" w:eastAsiaTheme="minorEastAsia" w:hAnsi="Arial" w:cs="Arial"/>
            <w:color w:val="000000" w:themeColor="text1"/>
            <w:kern w:val="24"/>
            <w:sz w:val="28"/>
            <w:szCs w:val="28"/>
          </w:rPr>
          <w:t>ha</w:t>
        </w:r>
      </w:hyperlink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es el principal cultivador mundial de quinua. La zona con mayor producción se encuentra en los departamentos de </w:t>
      </w:r>
      <w:hyperlink r:id="rId16" w:history="1">
        <w:r w:rsidRPr="002F2EDF">
          <w:rPr>
            <w:rStyle w:val="Hipervnculo"/>
            <w:rFonts w:ascii="Arial" w:eastAsiaTheme="minorEastAsia" w:hAnsi="Arial" w:cs="Arial"/>
            <w:color w:val="000000" w:themeColor="text1"/>
            <w:kern w:val="24"/>
            <w:sz w:val="28"/>
            <w:szCs w:val="28"/>
          </w:rPr>
          <w:t>La Paz</w:t>
        </w:r>
      </w:hyperlink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hyperlink r:id="rId17" w:history="1">
        <w:r w:rsidRPr="002F2EDF">
          <w:rPr>
            <w:rStyle w:val="Hipervnculo"/>
            <w:rFonts w:ascii="Arial" w:eastAsiaTheme="minorEastAsia" w:hAnsi="Arial" w:cs="Arial"/>
            <w:color w:val="000000" w:themeColor="text1"/>
            <w:kern w:val="24"/>
            <w:sz w:val="28"/>
            <w:szCs w:val="28"/>
          </w:rPr>
          <w:t>Potosí</w:t>
        </w:r>
      </w:hyperlink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y </w:t>
      </w:r>
      <w:hyperlink r:id="rId18" w:history="1">
        <w:r w:rsidRPr="002F2EDF">
          <w:rPr>
            <w:rStyle w:val="Hipervnculo"/>
            <w:rFonts w:ascii="Arial" w:eastAsiaTheme="minorEastAsia" w:hAnsi="Arial" w:cs="Arial"/>
            <w:color w:val="000000" w:themeColor="text1"/>
            <w:kern w:val="24"/>
            <w:sz w:val="28"/>
            <w:szCs w:val="28"/>
          </w:rPr>
          <w:t>Oruro</w:t>
        </w:r>
      </w:hyperlink>
    </w:p>
    <w:p w:rsidR="002F2EDF" w:rsidRPr="002F2EDF" w:rsidRDefault="009912EA" w:rsidP="002F2EDF">
      <w:pPr>
        <w:spacing w:after="0" w:line="360" w:lineRule="auto"/>
        <w:ind w:firstLine="708"/>
        <w:jc w:val="both"/>
        <w:rPr>
          <w:rFonts w:eastAsiaTheme="majorEastAsia" w:cs="Arial"/>
          <w:color w:val="FF0000"/>
          <w:kern w:val="24"/>
          <w:sz w:val="28"/>
          <w:szCs w:val="28"/>
          <w:u w:val="single"/>
        </w:rPr>
      </w:pPr>
      <w:r w:rsidRPr="002F2EDF">
        <w:rPr>
          <w:rFonts w:eastAsiaTheme="majorEastAsia" w:cs="Arial"/>
          <w:color w:val="FF0000"/>
          <w:kern w:val="24"/>
          <w:sz w:val="28"/>
          <w:szCs w:val="28"/>
          <w:u w:val="single"/>
        </w:rPr>
        <w:t>Descripción……</w:t>
      </w:r>
    </w:p>
    <w:p w:rsidR="006F41B9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>La quinua negra, blanca, roja, etc. no son variedades aclaró el experto, son ecotipos y Bolivia posee alrededor de tres mil seiscientas accesiones de quinua de varios sabores y colores, lamentablemente se desconoce muchas de las propiedades de cada uno de los ecotipos, se espera que existan mayores investigaciones y estudios para que se pueda aprovechar las miles de accesiones que tiene Bolivia y el altiplano.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</w:pPr>
      <w:r w:rsidRPr="002F2EDF"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  <w:t>DIAGNOSTICO DEL SECTOR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la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quinua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a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partir de la declaración del 2013 por parte de la Organización de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las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Naciones Unidas, como “Año Internacional de la Quinua”, una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exitosa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iniciativa del Gobierno boliviano, así como también, informar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sobre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el importante desarrollo de la quinua en el país. 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</w:pPr>
      <w:r w:rsidRPr="002F2EDF"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  <w:t>Crecimiento de la quinua real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El crecimiento de la producción que tuvo la quinua en Bolivia, de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>casi</w:t>
      </w:r>
      <w:proofErr w:type="gramEnd"/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 55% desde la campaña 2005-2006 hasta 2011-2012, muestra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>al</w:t>
      </w:r>
      <w:proofErr w:type="gramEnd"/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 país como líder a nivel mundial con casi 51 mil toneladas.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Durante la gestión 2012 las exportaciones bolivianas crecieron casi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>26% respecto al 2011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eastAsiaTheme="minorEastAsia" w:cs="Arial"/>
          <w:b/>
          <w:color w:val="FF0000"/>
          <w:kern w:val="24"/>
          <w:sz w:val="28"/>
          <w:szCs w:val="28"/>
          <w:u w:val="single"/>
        </w:rPr>
      </w:pPr>
      <w:r w:rsidRPr="002F2EDF">
        <w:rPr>
          <w:rFonts w:eastAsiaTheme="minorEastAsia" w:cs="Arial"/>
          <w:b/>
          <w:color w:val="FF0000"/>
          <w:kern w:val="24"/>
          <w:sz w:val="28"/>
          <w:szCs w:val="28"/>
          <w:u w:val="single"/>
        </w:rPr>
        <w:t>Perspectiva del Sector Agropecuario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• En los últimos años se cultiva en promedio una superficie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lastRenderedPageBreak/>
        <w:t>de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35.8 mil hectáreas de QUINOA en todo el Altiplano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boliviano</w:t>
      </w:r>
      <w:proofErr w:type="gramEnd"/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• Se produce en promedio 21,9 mil TM de cereal al año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con</w:t>
      </w:r>
      <w:proofErr w:type="gramEnd"/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un rendimiento promedio de 651 Kg./Has.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• La QUINOA aporta con el 2.35% del valor del Producto </w:t>
      </w:r>
    </w:p>
    <w:p w:rsidR="009912EA" w:rsidRPr="002F2EDF" w:rsidRDefault="009912EA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Interno Bruto Agropecuario de origen campesino.</w:t>
      </w:r>
    </w:p>
    <w:p w:rsidR="009912EA" w:rsidRPr="002F2EDF" w:rsidRDefault="009912EA" w:rsidP="002F2EDF">
      <w:pPr>
        <w:pStyle w:val="Prrafodelista"/>
        <w:spacing w:after="0" w:line="360" w:lineRule="auto"/>
        <w:jc w:val="both"/>
        <w:rPr>
          <w:rFonts w:cs="Arial"/>
          <w:b/>
          <w:bCs/>
          <w:color w:val="FF0000"/>
          <w:kern w:val="24"/>
          <w:sz w:val="28"/>
          <w:szCs w:val="28"/>
          <w:u w:val="single"/>
        </w:rPr>
      </w:pPr>
      <w:proofErr w:type="spellStart"/>
      <w:r w:rsidRPr="002F2EDF">
        <w:rPr>
          <w:rFonts w:cs="Arial"/>
          <w:b/>
          <w:bCs/>
          <w:color w:val="FF0000"/>
          <w:kern w:val="24"/>
          <w:sz w:val="28"/>
          <w:szCs w:val="28"/>
          <w:u w:val="single"/>
        </w:rPr>
        <w:t>Cluster</w:t>
      </w:r>
      <w:proofErr w:type="spellEnd"/>
      <w:r w:rsidRPr="002F2EDF">
        <w:rPr>
          <w:rFonts w:cs="Arial"/>
          <w:b/>
          <w:bCs/>
          <w:color w:val="FF0000"/>
          <w:kern w:val="24"/>
          <w:sz w:val="28"/>
          <w:szCs w:val="28"/>
          <w:u w:val="single"/>
        </w:rPr>
        <w:t xml:space="preserve"> ó Aglomerado de la QUINOA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 xml:space="preserve">Geográficamente, el aglomerado de la QUINOA en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 xml:space="preserve">Bolivia está esencialmente en el Altiplano.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 xml:space="preserve">Particularmente existen cinco puntos de concentración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Y análisis:</w:t>
      </w:r>
    </w:p>
    <w:p w:rsidR="002F2EDF" w:rsidRPr="002F2EDF" w:rsidRDefault="002F2EDF" w:rsidP="002F2EDF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26CEB6B1" wp14:editId="6343712D">
            <wp:simplePos x="0" y="0"/>
            <wp:positionH relativeFrom="column">
              <wp:posOffset>3674745</wp:posOffset>
            </wp:positionH>
            <wp:positionV relativeFrom="paragraph">
              <wp:posOffset>78105</wp:posOffset>
            </wp:positionV>
            <wp:extent cx="1633855" cy="1097280"/>
            <wp:effectExtent l="171450" t="171450" r="233045" b="236220"/>
            <wp:wrapNone/>
            <wp:docPr id="1030" name="Picture 6" descr="http://www.radiofides.com/upload/noticia/imagenes/57770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www.radiofides.com/upload/noticia/imagenes/57770-image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097280"/>
                    </a:xfrm>
                    <a:prstGeom prst="rect">
                      <a:avLst/>
                    </a:prstGeom>
                    <a:ln w="1270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Challapata</w:t>
      </w:r>
    </w:p>
    <w:p w:rsidR="002F2EDF" w:rsidRPr="002F2EDF" w:rsidRDefault="002F2EDF" w:rsidP="002F2EDF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Ciudad de Oruro</w:t>
      </w:r>
    </w:p>
    <w:p w:rsidR="002F2EDF" w:rsidRPr="002F2EDF" w:rsidRDefault="002F2EDF" w:rsidP="002F2EDF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Ciudad de La Paz y El Alto</w:t>
      </w:r>
    </w:p>
    <w:p w:rsidR="002F2EDF" w:rsidRPr="002F2EDF" w:rsidRDefault="002F2EDF" w:rsidP="002F2EDF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El Desaguadero</w:t>
      </w:r>
    </w:p>
    <w:p w:rsidR="002F2EDF" w:rsidRPr="002F2EDF" w:rsidRDefault="002F2EDF" w:rsidP="002F2EDF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="Times New Roman" w:cs="Arial"/>
          <w:bCs/>
          <w:color w:val="000000" w:themeColor="text1"/>
          <w:kern w:val="24"/>
          <w:sz w:val="28"/>
          <w:szCs w:val="28"/>
          <w:lang w:eastAsia="es-ES"/>
        </w:rPr>
        <w:t>Ciudad de Cochabamba</w:t>
      </w:r>
    </w:p>
    <w:p w:rsidR="009912EA" w:rsidRPr="002F2EDF" w:rsidRDefault="002F2EDF" w:rsidP="002F2EDF">
      <w:pPr>
        <w:pStyle w:val="Prrafodelista"/>
        <w:spacing w:after="0" w:line="360" w:lineRule="auto"/>
        <w:jc w:val="both"/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</w:pPr>
      <w:r w:rsidRPr="002F2EDF">
        <w:rPr>
          <w:rFonts w:eastAsiaTheme="majorEastAsia" w:cs="Arial"/>
          <w:b/>
          <w:bCs/>
          <w:color w:val="FF0000"/>
          <w:kern w:val="24"/>
          <w:sz w:val="28"/>
          <w:szCs w:val="28"/>
          <w:u w:val="single"/>
          <w:lang w:val="es-BO"/>
        </w:rPr>
        <w:t>EVALUACION Y ESTADO DEL SECTOR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Se puede evaluar al sector de la quinua desde tres puntos </w:t>
      </w:r>
      <w:proofErr w:type="spell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principales: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spellEnd"/>
      <w:r w:rsidRPr="002F2EDF">
        <w:rPr>
          <w:rFonts w:eastAsia="Times New Roman" w:cs="Arial"/>
          <w:color w:val="00B0F0"/>
          <w:sz w:val="28"/>
          <w:szCs w:val="28"/>
          <w:u w:val="single"/>
          <w:lang w:eastAsia="es-ES"/>
        </w:rPr>
        <w:t>A nivel local</w:t>
      </w:r>
      <w:r w:rsidRPr="002F2EDF">
        <w:rPr>
          <w:rFonts w:eastAsia="Times New Roman" w:cs="Arial"/>
          <w:color w:val="000000" w:themeColor="text1"/>
          <w:sz w:val="28"/>
          <w:szCs w:val="28"/>
          <w:lang w:eastAsia="es-ES"/>
        </w:rPr>
        <w:t xml:space="preserve">: </w:t>
      </w: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El consumo de la </w:t>
      </w:r>
      <w:proofErr w:type="spell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quinoa</w:t>
      </w:r>
      <w:proofErr w:type="spellEnd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 en los estratos económicos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bajos</w:t>
      </w:r>
      <w:proofErr w:type="gramEnd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 y medios es muy frecuente.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• También, es consumido en estratos sociales altos de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manera</w:t>
      </w:r>
      <w:proofErr w:type="gramEnd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 ocasional debido a su alto nivel nutricional y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bajo</w:t>
      </w:r>
      <w:proofErr w:type="gramEnd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 contenido de colesterol</w:t>
      </w:r>
    </w:p>
    <w:p w:rsidR="002F2EDF" w:rsidRPr="002F2EDF" w:rsidRDefault="002F2EDF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2F2EDF">
        <w:rPr>
          <w:rFonts w:ascii="Arial" w:eastAsiaTheme="minorEastAsia" w:hAnsi="Arial" w:cs="Arial"/>
          <w:color w:val="00B0F0"/>
          <w:kern w:val="24"/>
          <w:sz w:val="28"/>
          <w:szCs w:val="28"/>
          <w:u w:val="single"/>
        </w:rPr>
        <w:t>a</w:t>
      </w:r>
      <w:proofErr w:type="gramEnd"/>
      <w:r w:rsidRPr="002F2EDF">
        <w:rPr>
          <w:rFonts w:ascii="Arial" w:eastAsiaTheme="minorEastAsia" w:hAnsi="Arial" w:cs="Arial"/>
          <w:color w:val="00B0F0"/>
          <w:kern w:val="24"/>
          <w:sz w:val="28"/>
          <w:szCs w:val="28"/>
          <w:u w:val="single"/>
        </w:rPr>
        <w:t xml:space="preserve"> nivel regional</w:t>
      </w: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</w:rPr>
        <w:t xml:space="preserve">: </w:t>
      </w: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La QUINOA es un producto netamente Andino, por lo que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es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consumido en los países de la región.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lastRenderedPageBreak/>
        <w:t>• Perú es uno de los mayores consumidores de QUINOA, después de Bolivia.</w:t>
      </w:r>
    </w:p>
    <w:p w:rsidR="002F2EDF" w:rsidRPr="002F2EDF" w:rsidRDefault="002F2EDF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F2EDF">
        <w:rPr>
          <w:rFonts w:ascii="Arial" w:eastAsiaTheme="minorEastAsia" w:hAnsi="Arial" w:cs="Arial"/>
          <w:color w:val="00B0F0"/>
          <w:kern w:val="24"/>
          <w:sz w:val="28"/>
          <w:szCs w:val="28"/>
          <w:u w:val="single"/>
        </w:rPr>
        <w:t>Anivel</w:t>
      </w:r>
      <w:proofErr w:type="spellEnd"/>
      <w:r w:rsidRPr="002F2EDF">
        <w:rPr>
          <w:rFonts w:ascii="Arial" w:eastAsiaTheme="minorEastAsia" w:hAnsi="Arial" w:cs="Arial"/>
          <w:color w:val="00B0F0"/>
          <w:kern w:val="24"/>
          <w:sz w:val="28"/>
          <w:szCs w:val="28"/>
          <w:u w:val="single"/>
        </w:rPr>
        <w:t xml:space="preserve"> internacional</w:t>
      </w:r>
      <w:r w:rsidRPr="002F2EDF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</w:rPr>
        <w:t xml:space="preserve">: </w:t>
      </w:r>
      <w:r w:rsidRPr="002F2ED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•En Estados Unidos y Europa se ha incrementado el consumo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de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QUINOA por sus características esencialmente nutritivas. </w:t>
      </w:r>
    </w:p>
    <w:p w:rsidR="002F2EDF" w:rsidRPr="002F2EDF" w:rsidRDefault="002F2EDF" w:rsidP="002F2E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F2EDF">
        <w:rPr>
          <w:rFonts w:ascii="Arial" w:eastAsiaTheme="minorEastAsia" w:hAnsi="Arial" w:cs="Arial"/>
          <w:color w:val="FF0000"/>
          <w:kern w:val="24"/>
          <w:sz w:val="28"/>
          <w:szCs w:val="28"/>
          <w:u w:val="single"/>
        </w:rPr>
        <w:t xml:space="preserve"> </w:t>
      </w:r>
      <w:r w:rsidRPr="002F2EDF">
        <w:rPr>
          <w:rFonts w:ascii="Arial" w:eastAsiaTheme="minorEastAsia" w:hAnsi="Arial" w:cs="Arial"/>
          <w:color w:val="FF0000"/>
          <w:kern w:val="24"/>
          <w:sz w:val="28"/>
          <w:szCs w:val="2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La quinua desata guerra comercial entre Perú y Bolivia</w:t>
      </w:r>
    </w:p>
    <w:p w:rsidR="002F2EDF" w:rsidRPr="002F2EDF" w:rsidRDefault="002F2EDF" w:rsidP="002F2EDF">
      <w:pPr>
        <w:spacing w:after="0" w:line="360" w:lineRule="auto"/>
        <w:jc w:val="both"/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Una gran producción del grano en Perú se está desplazando a Bolivia, que hasta el año pasado fue el primer productor y exportador mundial como consecuencia del boom que estalló hace una década en torno a este nutritivo y saludable cereal tan completo como la leche </w:t>
      </w: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materna.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b/>
          <w:color w:val="000000" w:themeColor="text1"/>
          <w:sz w:val="28"/>
          <w:szCs w:val="28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334DBBE3" wp14:editId="482DC77A">
            <wp:simplePos x="0" y="0"/>
            <wp:positionH relativeFrom="column">
              <wp:posOffset>3796030</wp:posOffset>
            </wp:positionH>
            <wp:positionV relativeFrom="paragraph">
              <wp:posOffset>41275</wp:posOffset>
            </wp:positionV>
            <wp:extent cx="1628775" cy="1071880"/>
            <wp:effectExtent l="95250" t="95250" r="161925" b="147320"/>
            <wp:wrapNone/>
            <wp:docPr id="10242" name="Picture 2" descr="http://www.la-razon.com/economia/Cultivos-productora-comunidad-Qura-Jawira_LRZIMA20130814_001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://www.la-razon.com/economia/Cultivos-productora-comunidad-Qura-Jawira_LRZIMA20130814_0012_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1880"/>
                    </a:xfrm>
                    <a:prstGeom prst="rect">
                      <a:avLst/>
                    </a:prstGeom>
                    <a:ln w="57150" cap="sq">
                      <a:solidFill>
                        <a:srgbClr val="00B050"/>
                      </a:solidFill>
                      <a:prstDash val="lgDash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EDF">
        <w:rPr>
          <w:rFonts w:eastAsiaTheme="minorEastAsia" w:cs="Arial"/>
          <w:b/>
          <w:bCs/>
          <w:color w:val="FF0000"/>
          <w:kern w:val="24"/>
          <w:sz w:val="28"/>
          <w:szCs w:val="28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MARCO NORMATIVO DE LA  QUINUA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LEY Nº 395</w:t>
      </w:r>
      <w:r w:rsidRPr="002F2EDF">
        <w:rPr>
          <w:noProof/>
          <w:lang w:eastAsia="es-ES"/>
        </w:rPr>
        <w:t xml:space="preserve">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LEY DE 26 DE AGOSTO DE 2013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Por cuanto, la Asamblea Legislativa Plurinacional, ha sancionado la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Siguiente Ley: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LA ASAMBLEA LEGISLATIVA PLURINACIONAL,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D E C R E T </w:t>
      </w:r>
      <w:proofErr w:type="gram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A :</w:t>
      </w:r>
      <w:proofErr w:type="gramEnd"/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ARTÍCULO 1. (CENTRO INTERNACIONAL DE LA QUINUA CIQ).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1 Se constituye el Centro Internacional de la Quinua CIQ con sede en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Bolivia, como entidad pública del nivel central con el objetivo de contribuir a la soberanía y seguridad alimentaria, lucha contra el hambre, la desnutrición y la pobreza a través de la investigación científica y actividades relacionadas con la producción e industrialización sustentable de la quinua y especies afines.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spellStart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>II.El</w:t>
      </w:r>
      <w:proofErr w:type="spellEnd"/>
      <w:r w:rsidRPr="002F2EDF">
        <w:rPr>
          <w:rFonts w:eastAsiaTheme="minorEastAsia" w:cs="Arial"/>
          <w:color w:val="000000" w:themeColor="text1"/>
          <w:kern w:val="24"/>
          <w:sz w:val="28"/>
          <w:szCs w:val="28"/>
          <w:lang w:eastAsia="es-ES"/>
        </w:rPr>
        <w:t xml:space="preserve"> CIQ, se constituye en la entidad oficial para la defensa,  Recuperación y protección de los conocimientos ancestrales de la quinua.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lastRenderedPageBreak/>
        <w:t>III. El CIQ, tiene las siguientes funciones principales: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1.Promover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la investigación científica, innovación tecnológica, asistencia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Técnica y formación de recursos humanos;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D59B320" wp14:editId="65399C0E">
            <wp:simplePos x="0" y="0"/>
            <wp:positionH relativeFrom="column">
              <wp:posOffset>3949065</wp:posOffset>
            </wp:positionH>
            <wp:positionV relativeFrom="paragraph">
              <wp:posOffset>363855</wp:posOffset>
            </wp:positionV>
            <wp:extent cx="2194560" cy="1333500"/>
            <wp:effectExtent l="0" t="0" r="0" b="0"/>
            <wp:wrapNone/>
            <wp:docPr id="15366" name="Picture 6" descr="Resultado de imagen para quinua en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6" descr="Resultado de imagen para quinua en bolivi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2. Promover la conservación, manejo y uso adecuado de los recursos naturales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y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genéticos de la quinua y especies afines;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3. Establecer los sistemas de conservación de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germoplasma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de quinua y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Especies afines;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4.Recuperar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y promover los conocimientos y tecnologías locales relacionadas a la producción;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5. Gestionar el reconocimiento y defensa de los derechos de propiedad de las Variedades y eco tipos locales de quinua y especies afines;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6. Gestionar el reconocimiento y defensa de los derechos de propiedad de los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Productos industrializados de la quinua;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7. Coordinar, establecer mecanismos y alianzas estratégicas con instituciones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Públicas, privadas, nacionales e internacionales;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8. Establecer el sistema de información respecto a la producción, 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proofErr w:type="gramStart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industrialización</w:t>
      </w:r>
      <w:proofErr w:type="gramEnd"/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 xml:space="preserve"> y comercialización de la quinua y especies afín.</w:t>
      </w:r>
    </w:p>
    <w:p w:rsidR="002F2EDF" w:rsidRPr="002F2EDF" w:rsidRDefault="002F2EDF" w:rsidP="002F2EDF">
      <w:pPr>
        <w:spacing w:after="0" w:line="360" w:lineRule="auto"/>
        <w:jc w:val="both"/>
        <w:rPr>
          <w:rFonts w:eastAsia="Times New Roman" w:cs="Arial"/>
          <w:color w:val="000000" w:themeColor="text1"/>
          <w:sz w:val="28"/>
          <w:szCs w:val="28"/>
          <w:lang w:eastAsia="es-ES"/>
        </w:rPr>
      </w:pPr>
      <w:r w:rsidRPr="002F2EDF">
        <w:rPr>
          <w:rFonts w:eastAsiaTheme="minorEastAsia" w:cs="Arial"/>
          <w:bCs/>
          <w:color w:val="000000" w:themeColor="text1"/>
          <w:kern w:val="24"/>
          <w:sz w:val="28"/>
          <w:szCs w:val="28"/>
          <w:lang w:eastAsia="es-ES"/>
        </w:rPr>
        <w:t> </w:t>
      </w:r>
    </w:p>
    <w:p w:rsidR="002F2EDF" w:rsidRPr="002F2EDF" w:rsidRDefault="002F2EDF" w:rsidP="006F41B9">
      <w:pPr>
        <w:pStyle w:val="Prrafodelista"/>
        <w:spacing w:after="0" w:line="240" w:lineRule="auto"/>
        <w:jc w:val="both"/>
        <w:rPr>
          <w:rFonts w:eastAsiaTheme="minorEastAsia" w:cs="Arial"/>
          <w:color w:val="000000" w:themeColor="text1"/>
          <w:kern w:val="24"/>
          <w:sz w:val="28"/>
          <w:szCs w:val="28"/>
          <w:u w:val="single"/>
        </w:rPr>
      </w:pPr>
    </w:p>
    <w:p w:rsidR="009912EA" w:rsidRPr="002F2EDF" w:rsidRDefault="009912EA" w:rsidP="006F41B9">
      <w:pPr>
        <w:pStyle w:val="Prrafodelista"/>
        <w:spacing w:after="0" w:line="240" w:lineRule="auto"/>
        <w:jc w:val="both"/>
        <w:rPr>
          <w:rFonts w:eastAsiaTheme="majorEastAsia" w:cs="Arial"/>
          <w:b/>
          <w:bCs/>
          <w:color w:val="000000" w:themeColor="text1"/>
          <w:kern w:val="24"/>
          <w:sz w:val="28"/>
          <w:szCs w:val="28"/>
          <w:u w:val="single"/>
          <w:lang w:val="es-BO"/>
        </w:rPr>
      </w:pPr>
    </w:p>
    <w:p w:rsidR="009912EA" w:rsidRPr="002F2EDF" w:rsidRDefault="009912EA" w:rsidP="006F41B9">
      <w:pPr>
        <w:pStyle w:val="Prrafodelista"/>
        <w:spacing w:after="0" w:line="240" w:lineRule="auto"/>
        <w:jc w:val="both"/>
        <w:rPr>
          <w:rFonts w:eastAsiaTheme="majorEastAsia" w:cs="Arial"/>
          <w:b/>
          <w:bCs/>
          <w:color w:val="000000" w:themeColor="text1"/>
          <w:kern w:val="24"/>
          <w:sz w:val="28"/>
          <w:szCs w:val="28"/>
          <w:u w:val="single"/>
          <w:lang w:val="es-BO"/>
        </w:rPr>
      </w:pPr>
    </w:p>
    <w:p w:rsidR="009912EA" w:rsidRPr="002F2EDF" w:rsidRDefault="009912EA" w:rsidP="006F41B9">
      <w:pPr>
        <w:pStyle w:val="Prrafodelista"/>
        <w:spacing w:after="0" w:line="24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6F41B9" w:rsidRPr="002F2EDF" w:rsidRDefault="006F41B9" w:rsidP="006F41B9">
      <w:pPr>
        <w:pStyle w:val="Prrafodelista"/>
        <w:spacing w:after="0" w:line="240" w:lineRule="auto"/>
        <w:jc w:val="both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es-ES"/>
        </w:rPr>
      </w:pPr>
    </w:p>
    <w:p w:rsidR="00D340F4" w:rsidRPr="006B7BBD" w:rsidRDefault="00D340F4" w:rsidP="006B7BBD">
      <w:pPr>
        <w:jc w:val="both"/>
        <w:rPr>
          <w:sz w:val="28"/>
          <w:szCs w:val="28"/>
        </w:rPr>
      </w:pPr>
      <w:bookmarkStart w:id="0" w:name="_GoBack"/>
      <w:bookmarkEnd w:id="0"/>
    </w:p>
    <w:sectPr w:rsidR="00D340F4" w:rsidRPr="006B7BBD" w:rsidSect="006B7BBD">
      <w:pgSz w:w="12242" w:h="15842" w:code="1"/>
      <w:pgMar w:top="1417" w:right="1474" w:bottom="1417" w:left="1701" w:header="709" w:footer="709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1703"/>
    <w:multiLevelType w:val="hybridMultilevel"/>
    <w:tmpl w:val="5ABEC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97BBD"/>
    <w:multiLevelType w:val="hybridMultilevel"/>
    <w:tmpl w:val="EBF0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A47F8"/>
    <w:multiLevelType w:val="hybridMultilevel"/>
    <w:tmpl w:val="7DEC3FA6"/>
    <w:lvl w:ilvl="0" w:tplc="4A6A3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A0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A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8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CF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E9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0C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8F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64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F7109C"/>
    <w:multiLevelType w:val="hybridMultilevel"/>
    <w:tmpl w:val="46D60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A03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1"/>
    <w:rsid w:val="000F2BF4"/>
    <w:rsid w:val="002F2EDF"/>
    <w:rsid w:val="00437ED5"/>
    <w:rsid w:val="004B5B8E"/>
    <w:rsid w:val="00503A1B"/>
    <w:rsid w:val="006B7BBD"/>
    <w:rsid w:val="006F41B9"/>
    <w:rsid w:val="009912EA"/>
    <w:rsid w:val="00B07D4B"/>
    <w:rsid w:val="00C46A08"/>
    <w:rsid w:val="00D340F4"/>
    <w:rsid w:val="00D629D1"/>
    <w:rsid w:val="00E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E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912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E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912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seudocereal" TargetMode="External"/><Relationship Id="rId13" Type="http://schemas.openxmlformats.org/officeDocument/2006/relationships/hyperlink" Target="https://es.wikipedia.org/wiki/Per%C3%BA" TargetMode="External"/><Relationship Id="rId18" Type="http://schemas.openxmlformats.org/officeDocument/2006/relationships/hyperlink" Target="https://es.wikipedia.org/wiki/Departamento_de_Oruro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Bolivia" TargetMode="External"/><Relationship Id="rId17" Type="http://schemas.openxmlformats.org/officeDocument/2006/relationships/hyperlink" Target="https://es.wikipedia.org/wiki/Departamento_de_Potos%C3%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Departamento_de_La_Paz_%28Bolivia%29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Cordillera_de_los_And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s.wikipedia.org/wiki/H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Amarant%C3%A1ceas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Chenopodioideae" TargetMode="External"/><Relationship Id="rId14" Type="http://schemas.openxmlformats.org/officeDocument/2006/relationships/hyperlink" Target="https://es.wikipedia.org/wiki/Boliv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13ED-5F69-49D1-9448-4EB340EA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20</dc:creator>
  <cp:lastModifiedBy>Usuario 20</cp:lastModifiedBy>
  <cp:revision>2</cp:revision>
  <dcterms:created xsi:type="dcterms:W3CDTF">2015-10-06T01:02:00Z</dcterms:created>
  <dcterms:modified xsi:type="dcterms:W3CDTF">2015-10-06T01:02:00Z</dcterms:modified>
</cp:coreProperties>
</file>