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820" w:rsidRPr="00E12623" w:rsidRDefault="00470BFF" w:rsidP="00E12623">
      <w:pPr>
        <w:spacing w:line="360" w:lineRule="auto"/>
        <w:jc w:val="center"/>
        <w:rPr>
          <w:rFonts w:ascii="Arial" w:eastAsia="Times New Roman" w:hAnsi="Arial" w:cs="Arial"/>
          <w:b/>
          <w:color w:val="FF0000"/>
          <w:sz w:val="28"/>
          <w:u w:val="single"/>
          <w:lang w:eastAsia="es-MX"/>
        </w:rPr>
      </w:pPr>
      <w:r w:rsidRPr="00E12623">
        <w:rPr>
          <w:rFonts w:ascii="Arial" w:eastAsia="Times New Roman" w:hAnsi="Arial" w:cs="Arial"/>
          <w:b/>
          <w:color w:val="FF0000"/>
          <w:sz w:val="28"/>
          <w:u w:val="single"/>
          <w:lang w:eastAsia="es-MX"/>
        </w:rPr>
        <w:t>Los Sectores De Construcción En Bolivia</w:t>
      </w:r>
    </w:p>
    <w:p w:rsidR="00E12623" w:rsidRDefault="00E12623" w:rsidP="005A2C45">
      <w:pPr>
        <w:spacing w:line="360" w:lineRule="auto"/>
        <w:jc w:val="both"/>
        <w:rPr>
          <w:rFonts w:ascii="Arial" w:eastAsia="Times New Roman" w:hAnsi="Arial" w:cs="Arial"/>
          <w:b/>
          <w:color w:val="FF0000"/>
          <w:u w:val="single"/>
          <w:lang w:eastAsia="es-MX"/>
        </w:rPr>
      </w:pPr>
    </w:p>
    <w:p w:rsidR="00FA6BF0" w:rsidRPr="005A2C45" w:rsidRDefault="00E320D2" w:rsidP="005A2C45">
      <w:pPr>
        <w:spacing w:line="360" w:lineRule="auto"/>
        <w:jc w:val="both"/>
        <w:rPr>
          <w:rFonts w:ascii="Arial" w:eastAsia="Times New Roman" w:hAnsi="Arial" w:cs="Arial"/>
          <w:b/>
          <w:color w:val="FF0000"/>
          <w:u w:val="single"/>
          <w:lang w:eastAsia="es-MX"/>
        </w:rPr>
      </w:pPr>
      <w:r w:rsidRPr="005A2C45">
        <w:rPr>
          <w:rFonts w:ascii="Arial" w:eastAsia="Times New Roman" w:hAnsi="Arial" w:cs="Arial"/>
          <w:b/>
          <w:color w:val="FF0000"/>
          <w:u w:val="single"/>
          <w:lang w:eastAsia="es-MX"/>
        </w:rPr>
        <w:t>Introducción</w:t>
      </w:r>
    </w:p>
    <w:p w:rsidR="00E320D2" w:rsidRPr="005A2C45" w:rsidRDefault="00FA6BF0" w:rsidP="005A2C45">
      <w:pPr>
        <w:spacing w:line="360" w:lineRule="auto"/>
        <w:jc w:val="both"/>
        <w:rPr>
          <w:rFonts w:ascii="Arial" w:eastAsia="Times New Roman" w:hAnsi="Arial" w:cs="Arial"/>
          <w:lang w:eastAsia="es-MX"/>
        </w:rPr>
      </w:pPr>
      <w:r w:rsidRPr="005A2C45">
        <w:rPr>
          <w:rFonts w:ascii="Arial" w:eastAsia="Times New Roman" w:hAnsi="Arial" w:cs="Arial"/>
          <w:lang w:eastAsia="es-MX"/>
        </w:rPr>
        <w:t>La construcción es una de las actividades de mayor importancia dentro la economía de un país, constituyéndose en un dínamo de la misma por su efecto multiplicador en la industria, el comercio, el sistema financiero, además de la generación de empleos y el pago de impuestos.</w:t>
      </w:r>
    </w:p>
    <w:p w:rsidR="00E320D2" w:rsidRPr="005A2C45" w:rsidRDefault="00FA6BF0" w:rsidP="005A2C45">
      <w:pPr>
        <w:spacing w:line="360" w:lineRule="auto"/>
        <w:jc w:val="both"/>
        <w:rPr>
          <w:rFonts w:ascii="Arial" w:eastAsia="Times New Roman" w:hAnsi="Arial" w:cs="Arial"/>
          <w:lang w:eastAsia="es-MX"/>
        </w:rPr>
      </w:pPr>
      <w:r w:rsidRPr="005A2C45">
        <w:rPr>
          <w:rFonts w:ascii="Arial" w:eastAsia="Times New Roman" w:hAnsi="Arial" w:cs="Arial"/>
          <w:lang w:eastAsia="es-MX"/>
        </w:rPr>
        <w:t xml:space="preserve"> • La construcción al atender la demanda de infraestructura es una actividad interrelacionada con otros sectores como el agropecuario, energía, transporte, salud, educación y cultura, saneamiento básico, urbanismo, vivienda y recursos hídricos.</w:t>
      </w:r>
    </w:p>
    <w:p w:rsidR="00062460" w:rsidRPr="005A2C45" w:rsidRDefault="00FA6BF0" w:rsidP="005A2C45">
      <w:pPr>
        <w:spacing w:line="360" w:lineRule="auto"/>
        <w:jc w:val="both"/>
        <w:rPr>
          <w:rFonts w:ascii="Arial" w:eastAsia="Times New Roman" w:hAnsi="Arial" w:cs="Arial"/>
          <w:lang w:eastAsia="es-MX"/>
        </w:rPr>
      </w:pPr>
      <w:r w:rsidRPr="005A2C45">
        <w:rPr>
          <w:rFonts w:ascii="Arial" w:eastAsia="Times New Roman" w:hAnsi="Arial" w:cs="Arial"/>
          <w:lang w:eastAsia="es-MX"/>
        </w:rPr>
        <w:t xml:space="preserve"> • En Bolivia, la construcción en el ámbito público ha representado en los últimos cinco años alrededor de 1.500 millones de dólares/año de inversión del total de la inversión pública; y en el ámbito privado, actualmente el financiamiento concedido a la construcción por el sistema financiero, bancario y no bancario, bordea un saldo de más de 1.500 millones de dólares, evidenciándose la importancia del sector.</w:t>
      </w:r>
    </w:p>
    <w:p w:rsidR="005A2C45" w:rsidRPr="004C2646" w:rsidRDefault="005A2C45" w:rsidP="005A2C45">
      <w:pPr>
        <w:spacing w:line="360" w:lineRule="auto"/>
        <w:jc w:val="both"/>
        <w:rPr>
          <w:rFonts w:ascii="Arial" w:eastAsia="Times New Roman" w:hAnsi="Arial" w:cs="Arial"/>
          <w:lang w:eastAsia="es-MX"/>
        </w:rPr>
      </w:pPr>
      <w:r w:rsidRPr="005A2C45">
        <w:rPr>
          <w:rFonts w:ascii="Arial" w:hAnsi="Arial" w:cs="Arial"/>
          <w:noProof/>
          <w:lang w:eastAsia="es-ES"/>
        </w:rPr>
        <w:drawing>
          <wp:anchor distT="0" distB="0" distL="114300" distR="114300" simplePos="0" relativeHeight="251659776" behindDoc="1" locked="0" layoutInCell="1" allowOverlap="1" wp14:anchorId="71756C95" wp14:editId="40D38FBB">
            <wp:simplePos x="0" y="0"/>
            <wp:positionH relativeFrom="column">
              <wp:posOffset>-64135</wp:posOffset>
            </wp:positionH>
            <wp:positionV relativeFrom="paragraph">
              <wp:posOffset>323850</wp:posOffset>
            </wp:positionV>
            <wp:extent cx="5791200" cy="3534410"/>
            <wp:effectExtent l="0" t="0" r="0" b="8890"/>
            <wp:wrapTight wrapText="bothSides">
              <wp:wrapPolygon edited="0">
                <wp:start x="0" y="0"/>
                <wp:lineTo x="0" y="21538"/>
                <wp:lineTo x="21529" y="21538"/>
                <wp:lineTo x="21529" y="0"/>
                <wp:lineTo x="0" y="0"/>
              </wp:wrapPolygon>
            </wp:wrapTight>
            <wp:docPr id="5" name="Imagen 5" descr="http://www.erbol.com.bo/sites/default/files/img_noticias/10-ene-ec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bol.com.bo/sites/default/files/img_noticias/10-ene-eco-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353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0D2" w:rsidRPr="005A2C45" w:rsidRDefault="00E320D2" w:rsidP="005A2C45">
      <w:pPr>
        <w:spacing w:line="360" w:lineRule="auto"/>
        <w:jc w:val="both"/>
        <w:rPr>
          <w:rFonts w:ascii="Arial" w:eastAsia="Times New Roman" w:hAnsi="Arial" w:cs="Arial"/>
          <w:b/>
          <w:color w:val="FF0000"/>
          <w:u w:val="single"/>
          <w:lang w:eastAsia="es-MX"/>
        </w:rPr>
      </w:pPr>
      <w:r w:rsidRPr="005A2C45">
        <w:rPr>
          <w:rFonts w:ascii="Arial" w:eastAsia="Times New Roman" w:hAnsi="Arial" w:cs="Arial"/>
          <w:b/>
          <w:color w:val="FF0000"/>
          <w:u w:val="single"/>
          <w:lang w:eastAsia="es-MX"/>
        </w:rPr>
        <w:lastRenderedPageBreak/>
        <w:t>2.- Diagnostico Del Sector.-</w:t>
      </w:r>
    </w:p>
    <w:p w:rsidR="005A2C45" w:rsidRPr="005A2C45" w:rsidRDefault="00D6509A" w:rsidP="005A2C45">
      <w:pPr>
        <w:spacing w:line="360" w:lineRule="auto"/>
        <w:jc w:val="both"/>
        <w:rPr>
          <w:rFonts w:ascii="Arial" w:hAnsi="Arial" w:cs="Arial"/>
          <w:color w:val="030303"/>
          <w:shd w:val="clear" w:color="auto" w:fill="FAFAFA"/>
        </w:rPr>
      </w:pPr>
      <w:r w:rsidRPr="005A2C45">
        <w:rPr>
          <w:rFonts w:ascii="Arial" w:hAnsi="Arial" w:cs="Arial"/>
          <w:color w:val="030303"/>
          <w:shd w:val="clear" w:color="auto" w:fill="FAFAFA"/>
        </w:rPr>
        <w:t>El</w:t>
      </w:r>
      <w:r w:rsidR="005A2C45" w:rsidRPr="005A2C45">
        <w:rPr>
          <w:rFonts w:ascii="Arial" w:hAnsi="Arial" w:cs="Arial"/>
          <w:color w:val="030303"/>
          <w:shd w:val="clear" w:color="auto" w:fill="FAFAFA"/>
        </w:rPr>
        <w:t xml:space="preserve"> crecimiento de ese sector en el país cerró con 7,6 por ciento en 2013. Señaló que si bien el porcentaje es menor al de hace cuatro años, el crecimiento es sostenido.</w:t>
      </w:r>
    </w:p>
    <w:p w:rsidR="005A2C45" w:rsidRPr="005A2C45" w:rsidRDefault="005A2C45" w:rsidP="005A2C45">
      <w:pPr>
        <w:spacing w:line="360" w:lineRule="auto"/>
        <w:jc w:val="both"/>
        <w:rPr>
          <w:rFonts w:ascii="Arial" w:hAnsi="Arial" w:cs="Arial"/>
          <w:color w:val="000000"/>
          <w:shd w:val="clear" w:color="auto" w:fill="FFFFFF"/>
        </w:rPr>
      </w:pPr>
      <w:r w:rsidRPr="005A2C45">
        <w:rPr>
          <w:rFonts w:ascii="Arial" w:hAnsi="Arial" w:cs="Arial"/>
          <w:color w:val="000000"/>
          <w:shd w:val="clear" w:color="auto" w:fill="FFFFFF"/>
        </w:rPr>
        <w:t>Por otra parte, según datos de Fundempresa, las empresas constructoras se triplicar durante los períodos 2009-2014, pasando de 6.033 entidades a 18.577 a nivel nacional, cifra que refleja un crecimiento del 300% de este sector.</w:t>
      </w:r>
    </w:p>
    <w:p w:rsidR="00922904" w:rsidRPr="005A2C45" w:rsidRDefault="00922904" w:rsidP="00E12623">
      <w:pPr>
        <w:spacing w:before="100" w:beforeAutospacing="1" w:after="100" w:afterAutospacing="1" w:line="360" w:lineRule="auto"/>
        <w:jc w:val="both"/>
        <w:rPr>
          <w:rFonts w:ascii="Arial" w:eastAsia="Times New Roman" w:hAnsi="Arial" w:cs="Arial"/>
          <w:b/>
          <w:bCs/>
          <w:color w:val="000000" w:themeColor="text1"/>
          <w:kern w:val="36"/>
          <w:lang w:eastAsia="es-BO"/>
        </w:rPr>
      </w:pPr>
      <w:r w:rsidRPr="005A2C45">
        <w:rPr>
          <w:rFonts w:ascii="Arial" w:eastAsia="Times New Roman" w:hAnsi="Arial" w:cs="Arial"/>
          <w:b/>
          <w:bCs/>
          <w:color w:val="000000" w:themeColor="text1"/>
          <w:kern w:val="36"/>
          <w:lang w:eastAsia="es-BO"/>
        </w:rPr>
        <w:t>Aporta 9.5% al PIB</w:t>
      </w:r>
    </w:p>
    <w:p w:rsidR="00922904" w:rsidRPr="005A2C45" w:rsidRDefault="00922904" w:rsidP="005A2C45">
      <w:pPr>
        <w:spacing w:before="100" w:beforeAutospacing="1" w:after="100" w:afterAutospacing="1" w:line="360" w:lineRule="auto"/>
        <w:jc w:val="both"/>
        <w:rPr>
          <w:rFonts w:ascii="Arial" w:eastAsia="Times New Roman" w:hAnsi="Arial" w:cs="Arial"/>
          <w:color w:val="000000" w:themeColor="text1"/>
          <w:lang w:eastAsia="es-MX"/>
        </w:rPr>
      </w:pPr>
      <w:r w:rsidRPr="005A2C45">
        <w:rPr>
          <w:rFonts w:ascii="Arial" w:eastAsia="Times New Roman" w:hAnsi="Arial" w:cs="Arial"/>
          <w:color w:val="000000" w:themeColor="text1"/>
          <w:lang w:eastAsia="es-BO"/>
        </w:rPr>
        <w:t xml:space="preserve">La construcción es la segunda aportante al Producto Interno Bruto (PIB), según los datos que dio a conocer el vicepresidente de la Fundación para la Feria Internacional de Cochabamba </w:t>
      </w:r>
      <w:r w:rsidR="00915A25" w:rsidRPr="005A2C45">
        <w:rPr>
          <w:rFonts w:ascii="Arial" w:eastAsia="Times New Roman" w:hAnsi="Arial" w:cs="Arial"/>
          <w:color w:val="000000" w:themeColor="text1"/>
          <w:lang w:eastAsia="es-BO"/>
        </w:rPr>
        <w:tab/>
      </w:r>
      <w:r w:rsidRPr="005A2C45">
        <w:rPr>
          <w:rFonts w:ascii="Arial" w:eastAsia="Times New Roman" w:hAnsi="Arial" w:cs="Arial"/>
          <w:color w:val="000000" w:themeColor="text1"/>
          <w:lang w:eastAsia="es-BO"/>
        </w:rPr>
        <w:t xml:space="preserve">(Feicobol), </w:t>
      </w:r>
      <w:r w:rsidR="00915A25" w:rsidRPr="005A2C45">
        <w:rPr>
          <w:rFonts w:ascii="Arial" w:eastAsia="Times New Roman" w:hAnsi="Arial" w:cs="Arial"/>
          <w:color w:val="000000" w:themeColor="text1"/>
          <w:lang w:eastAsia="es-BO"/>
        </w:rPr>
        <w:tab/>
      </w:r>
      <w:r w:rsidRPr="005A2C45">
        <w:rPr>
          <w:rFonts w:ascii="Arial" w:eastAsia="Times New Roman" w:hAnsi="Arial" w:cs="Arial"/>
          <w:color w:val="000000" w:themeColor="text1"/>
          <w:lang w:eastAsia="es-BO"/>
        </w:rPr>
        <w:t xml:space="preserve">Luis </w:t>
      </w:r>
      <w:r w:rsidR="00915A25" w:rsidRPr="005A2C45">
        <w:rPr>
          <w:rFonts w:ascii="Arial" w:eastAsia="Times New Roman" w:hAnsi="Arial" w:cs="Arial"/>
          <w:color w:val="000000" w:themeColor="text1"/>
          <w:lang w:eastAsia="es-BO"/>
        </w:rPr>
        <w:tab/>
      </w:r>
      <w:r w:rsidRPr="005A2C45">
        <w:rPr>
          <w:rFonts w:ascii="Arial" w:eastAsia="Times New Roman" w:hAnsi="Arial" w:cs="Arial"/>
          <w:color w:val="000000" w:themeColor="text1"/>
          <w:lang w:eastAsia="es-BO"/>
        </w:rPr>
        <w:t>Claure.</w:t>
      </w:r>
      <w:r w:rsidRPr="005A2C45">
        <w:rPr>
          <w:rFonts w:ascii="Arial" w:eastAsia="Times New Roman" w:hAnsi="Arial" w:cs="Arial"/>
          <w:color w:val="000000" w:themeColor="text1"/>
          <w:lang w:eastAsia="es-BO"/>
        </w:rPr>
        <w:br/>
      </w:r>
      <w:r w:rsidR="00915A25" w:rsidRPr="005A2C45">
        <w:rPr>
          <w:rFonts w:ascii="Arial" w:eastAsia="Times New Roman" w:hAnsi="Arial" w:cs="Arial"/>
          <w:color w:val="000000" w:themeColor="text1"/>
          <w:lang w:eastAsia="es-BO"/>
        </w:rPr>
        <w:t>El</w:t>
      </w:r>
      <w:r w:rsidRPr="005A2C45">
        <w:rPr>
          <w:rFonts w:ascii="Arial" w:eastAsia="Times New Roman" w:hAnsi="Arial" w:cs="Arial"/>
          <w:color w:val="000000" w:themeColor="text1"/>
          <w:lang w:eastAsia="es-BO"/>
        </w:rPr>
        <w:t xml:space="preserve"> PIB alcanzó, aproximadamente, 27 mil millones de dólares.</w:t>
      </w:r>
    </w:p>
    <w:p w:rsidR="00922904" w:rsidRPr="005A2C45" w:rsidRDefault="0020144C" w:rsidP="005A2C45">
      <w:pPr>
        <w:pStyle w:val="Prrafodelista"/>
        <w:numPr>
          <w:ilvl w:val="0"/>
          <w:numId w:val="6"/>
        </w:numPr>
        <w:spacing w:before="100" w:beforeAutospacing="1" w:after="100" w:afterAutospacing="1" w:line="360" w:lineRule="auto"/>
        <w:jc w:val="both"/>
        <w:rPr>
          <w:rFonts w:ascii="Arial" w:eastAsia="Times New Roman" w:hAnsi="Arial" w:cs="Arial"/>
          <w:lang w:eastAsia="es-MX"/>
        </w:rPr>
      </w:pPr>
      <w:r w:rsidRPr="005A2C45">
        <w:rPr>
          <w:rFonts w:ascii="Arial" w:eastAsia="Times New Roman" w:hAnsi="Arial" w:cs="Arial"/>
          <w:b/>
          <w:color w:val="FF0000"/>
          <w:lang w:eastAsia="es-MX"/>
        </w:rPr>
        <w:t>La inversión en construcción</w:t>
      </w:r>
      <w:r w:rsidRPr="005A2C45">
        <w:rPr>
          <w:rFonts w:ascii="Arial" w:eastAsia="Times New Roman" w:hAnsi="Arial" w:cs="Arial"/>
          <w:color w:val="FF0000"/>
          <w:lang w:eastAsia="es-MX"/>
        </w:rPr>
        <w:t xml:space="preserve"> </w:t>
      </w:r>
    </w:p>
    <w:p w:rsidR="002442FE" w:rsidRPr="005A2C45" w:rsidRDefault="0020144C" w:rsidP="005A2C45">
      <w:pPr>
        <w:spacing w:before="100" w:beforeAutospacing="1" w:after="100" w:afterAutospacing="1" w:line="360" w:lineRule="auto"/>
        <w:jc w:val="both"/>
        <w:rPr>
          <w:rFonts w:ascii="Arial" w:eastAsia="Times New Roman" w:hAnsi="Arial" w:cs="Arial"/>
          <w:lang w:eastAsia="es-MX"/>
        </w:rPr>
      </w:pPr>
      <w:r w:rsidRPr="005A2C45">
        <w:rPr>
          <w:rFonts w:ascii="Arial" w:eastAsia="Times New Roman" w:hAnsi="Arial" w:cs="Arial"/>
          <w:lang w:eastAsia="es-MX"/>
        </w:rPr>
        <w:t xml:space="preserve"> </w:t>
      </w:r>
      <w:r w:rsidR="00922904" w:rsidRPr="005A2C45">
        <w:rPr>
          <w:rFonts w:ascii="Arial" w:eastAsia="Times New Roman" w:hAnsi="Arial" w:cs="Arial"/>
          <w:lang w:eastAsia="es-MX"/>
        </w:rPr>
        <w:t>Toda</w:t>
      </w:r>
      <w:r w:rsidRPr="005A2C45">
        <w:rPr>
          <w:rFonts w:ascii="Arial" w:eastAsia="Times New Roman" w:hAnsi="Arial" w:cs="Arial"/>
          <w:lang w:eastAsia="es-MX"/>
        </w:rPr>
        <w:t xml:space="preserve"> construcción de infraestructura para distintos sectores y actividades; siendo el sector de transporte, con la construcción, mejoramiento y mantenimiento de vías el de mayor incidencia (56% promedio los últimos 3 años). </w:t>
      </w:r>
    </w:p>
    <w:p w:rsidR="0020144C" w:rsidRPr="005A2C45" w:rsidRDefault="0020144C" w:rsidP="005A2C45">
      <w:pPr>
        <w:spacing w:before="100" w:beforeAutospacing="1" w:after="100" w:afterAutospacing="1" w:line="360" w:lineRule="auto"/>
        <w:jc w:val="both"/>
        <w:rPr>
          <w:rFonts w:ascii="Arial" w:eastAsia="Times New Roman" w:hAnsi="Arial" w:cs="Arial"/>
          <w:lang w:eastAsia="es-MX"/>
        </w:rPr>
      </w:pPr>
      <w:r w:rsidRPr="005A2C45">
        <w:rPr>
          <w:rFonts w:ascii="Arial" w:eastAsia="Times New Roman" w:hAnsi="Arial" w:cs="Arial"/>
          <w:lang w:eastAsia="es-MX"/>
        </w:rPr>
        <w:t xml:space="preserve">• A partir del año 2004 los montos de inversión pública ejecutada presentan solamente tasas de crecimiento positivas. </w:t>
      </w:r>
    </w:p>
    <w:p w:rsidR="0020144C" w:rsidRPr="005A2C45" w:rsidRDefault="0020144C" w:rsidP="005A2C45">
      <w:pPr>
        <w:spacing w:before="100" w:beforeAutospacing="1" w:after="100" w:afterAutospacing="1" w:line="360" w:lineRule="auto"/>
        <w:jc w:val="both"/>
        <w:rPr>
          <w:rFonts w:ascii="Arial" w:eastAsia="Times New Roman" w:hAnsi="Arial" w:cs="Arial"/>
          <w:lang w:eastAsia="es-MX"/>
        </w:rPr>
      </w:pPr>
      <w:r w:rsidRPr="005A2C45">
        <w:rPr>
          <w:rFonts w:ascii="Arial" w:eastAsia="Times New Roman" w:hAnsi="Arial" w:cs="Arial"/>
          <w:lang w:eastAsia="es-MX"/>
        </w:rPr>
        <w:t xml:space="preserve">• El año 2013 se tiene un presupuesto ejecutado de 3.781 millones de dólares y para el año 2014 se tiene un incremento del 19% en el presupuesto aprobado. </w:t>
      </w:r>
    </w:p>
    <w:p w:rsidR="0020144C" w:rsidRPr="005A2C45" w:rsidRDefault="0020144C" w:rsidP="005A2C45">
      <w:pPr>
        <w:spacing w:before="100" w:beforeAutospacing="1" w:after="100" w:afterAutospacing="1" w:line="360" w:lineRule="auto"/>
        <w:jc w:val="both"/>
        <w:rPr>
          <w:rFonts w:ascii="Arial" w:eastAsia="Times New Roman" w:hAnsi="Arial" w:cs="Arial"/>
          <w:lang w:eastAsia="es-MX"/>
        </w:rPr>
      </w:pPr>
      <w:r w:rsidRPr="005A2C45">
        <w:rPr>
          <w:rFonts w:ascii="Arial" w:eastAsia="Times New Roman" w:hAnsi="Arial" w:cs="Arial"/>
          <w:lang w:eastAsia="es-MX"/>
        </w:rPr>
        <w:t xml:space="preserve">• Para el 2013 el 50% de la ejecución corresponde a la Administración Central, 25% a la Administración Local, 18% a la Administración Departamental y 7,1% al Cofinanciamiento Regional y universidades. </w:t>
      </w:r>
    </w:p>
    <w:p w:rsidR="0020144C" w:rsidRPr="005A2C45" w:rsidRDefault="0020144C" w:rsidP="00E12623">
      <w:pPr>
        <w:spacing w:before="100" w:beforeAutospacing="1" w:after="100" w:afterAutospacing="1" w:line="360" w:lineRule="auto"/>
        <w:jc w:val="both"/>
        <w:rPr>
          <w:rFonts w:ascii="Arial" w:eastAsia="Times New Roman" w:hAnsi="Arial" w:cs="Arial"/>
          <w:lang w:eastAsia="es-MX"/>
        </w:rPr>
      </w:pPr>
      <w:r w:rsidRPr="005A2C45">
        <w:rPr>
          <w:rFonts w:ascii="Arial" w:eastAsia="Times New Roman" w:hAnsi="Arial" w:cs="Arial"/>
          <w:lang w:eastAsia="es-MX"/>
        </w:rPr>
        <w:t xml:space="preserve">• La principal fuente de financiamiento de la inversión pública a partir del año 2006 corresponde a los recursos internos, representando el 2013 un 77% los recursos internos y un 23% los recursos externos (este último compuesto de créditos y donaciones). 10 </w:t>
      </w:r>
    </w:p>
    <w:p w:rsidR="002442FE" w:rsidRPr="005A2C45" w:rsidRDefault="0020144C" w:rsidP="005A2C45">
      <w:pPr>
        <w:spacing w:before="100" w:beforeAutospacing="1" w:after="100" w:afterAutospacing="1" w:line="360" w:lineRule="auto"/>
        <w:jc w:val="both"/>
        <w:rPr>
          <w:rFonts w:ascii="Arial" w:eastAsia="Times New Roman" w:hAnsi="Arial" w:cs="Arial"/>
          <w:lang w:eastAsia="es-MX"/>
        </w:rPr>
      </w:pPr>
      <w:r w:rsidRPr="005A2C45">
        <w:rPr>
          <w:rFonts w:ascii="Arial" w:eastAsia="Times New Roman" w:hAnsi="Arial" w:cs="Arial"/>
          <w:lang w:eastAsia="es-MX"/>
        </w:rPr>
        <w:lastRenderedPageBreak/>
        <w:t xml:space="preserve">• A septiembre de 2013 el financiamiento otorgado por el sistema financiero a la construcción llega a un total de 10.625 millones de bolivianos compuesto por 7.370 millones de bolivianos del sistema bancario y 3.256 millones de bolivianos del sistema no bancario (integrado por mutuales, cooperativas y fondos financieros). Para esta misma fecha, el financiamiento a la construcción representa el 11% y el 20% del total financiado al sector privado respectivamente por los sistemas bancario y no bancario. </w:t>
      </w:r>
    </w:p>
    <w:p w:rsidR="00770652" w:rsidRPr="005A2C45" w:rsidRDefault="0020144C" w:rsidP="00D6509A">
      <w:pPr>
        <w:spacing w:before="100" w:beforeAutospacing="1" w:after="100" w:afterAutospacing="1" w:line="360" w:lineRule="auto"/>
        <w:jc w:val="both"/>
        <w:rPr>
          <w:rFonts w:ascii="Arial" w:eastAsia="Times New Roman" w:hAnsi="Arial" w:cs="Arial"/>
          <w:lang w:eastAsia="es-MX"/>
        </w:rPr>
      </w:pPr>
      <w:r w:rsidRPr="005A2C45">
        <w:rPr>
          <w:rFonts w:ascii="Arial" w:eastAsia="Times New Roman" w:hAnsi="Arial" w:cs="Arial"/>
          <w:lang w:eastAsia="es-MX"/>
        </w:rPr>
        <w:t>• El total del financiamiento concedido por el sistema financiero bancario y no bancario</w:t>
      </w:r>
      <w:r w:rsidR="002442FE" w:rsidRPr="005A2C45">
        <w:rPr>
          <w:rFonts w:ascii="Arial" w:eastAsia="Times New Roman" w:hAnsi="Arial" w:cs="Arial"/>
          <w:lang w:eastAsia="es-MX"/>
        </w:rPr>
        <w:t xml:space="preserve"> a la construcción </w:t>
      </w:r>
      <w:r w:rsidRPr="005A2C45">
        <w:rPr>
          <w:rFonts w:ascii="Arial" w:eastAsia="Times New Roman" w:hAnsi="Arial" w:cs="Arial"/>
          <w:lang w:eastAsia="es-MX"/>
        </w:rPr>
        <w:t xml:space="preserve"> muestra tasas anuales de crecimiento positivas de 2%, 2%, 11%, 28%, 29%, 14%, y 15% del 2006 a 2012 y a septiembre de 2013 muestra una tasa de 11%. 15 </w:t>
      </w:r>
    </w:p>
    <w:p w:rsidR="002941B0" w:rsidRPr="005A2C45" w:rsidRDefault="00922904" w:rsidP="005A2C45">
      <w:pPr>
        <w:spacing w:line="360" w:lineRule="auto"/>
        <w:jc w:val="both"/>
        <w:rPr>
          <w:rFonts w:ascii="Arial" w:eastAsia="Times New Roman" w:hAnsi="Arial" w:cs="Arial"/>
          <w:b/>
          <w:color w:val="FF0000"/>
          <w:u w:val="single"/>
          <w:lang w:eastAsia="es-MX"/>
        </w:rPr>
      </w:pPr>
      <w:r w:rsidRPr="005A2C45">
        <w:rPr>
          <w:rFonts w:ascii="Arial" w:eastAsia="Times New Roman" w:hAnsi="Arial" w:cs="Arial"/>
          <w:b/>
          <w:bCs/>
          <w:color w:val="FF0000"/>
          <w:lang w:eastAsia="es-ES"/>
        </w:rPr>
        <w:t>Construcción crece 8,53% y aporta con 500.000 fuentes de empleo</w:t>
      </w:r>
    </w:p>
    <w:p w:rsidR="002941B0" w:rsidRPr="005A2C45" w:rsidRDefault="00922904" w:rsidP="005A2C45">
      <w:pPr>
        <w:shd w:val="clear" w:color="auto" w:fill="FFFFFF"/>
        <w:spacing w:after="0" w:line="360" w:lineRule="auto"/>
        <w:jc w:val="both"/>
        <w:rPr>
          <w:rFonts w:ascii="Arial" w:eastAsia="Times New Roman" w:hAnsi="Arial" w:cs="Arial"/>
          <w:color w:val="000000"/>
          <w:lang w:eastAsia="es-ES"/>
        </w:rPr>
      </w:pPr>
      <w:r w:rsidRPr="005A2C45">
        <w:rPr>
          <w:rFonts w:ascii="Arial" w:eastAsia="Times New Roman" w:hAnsi="Arial" w:cs="Arial"/>
          <w:color w:val="000000"/>
          <w:lang w:eastAsia="es-ES"/>
        </w:rPr>
        <w:t>De enero a septiembre de 2014, el rubro de la construcción creció 8,53%, por encima del crecimiento del Producto Interno Bruto (PIB) de Bolivia.</w:t>
      </w:r>
      <w:r w:rsidRPr="005A2C45">
        <w:rPr>
          <w:rFonts w:ascii="Arial" w:eastAsia="Times New Roman" w:hAnsi="Arial" w:cs="Arial"/>
          <w:color w:val="000000"/>
          <w:lang w:eastAsia="es-ES"/>
        </w:rPr>
        <w:br/>
        <w:t>La Cámara Boliviana de la Construcción (Caboco) destacó la contribución de ese sector para el desarrollo económico.</w:t>
      </w:r>
      <w:r w:rsidRPr="005A2C45">
        <w:rPr>
          <w:rFonts w:ascii="Arial" w:eastAsia="Times New Roman" w:hAnsi="Arial" w:cs="Arial"/>
          <w:color w:val="000000"/>
          <w:lang w:eastAsia="es-ES"/>
        </w:rPr>
        <w:br/>
        <w:t>La construcción, al atender la demanda de infraestructura, es una actividad interrelacionada con otros sectores como el agropecuario, energía, transporte, salud, educación y cultura, saneamiento básico, urbanismo, vivienda, etcétera, para mejorar el nivel de vida de la población.</w:t>
      </w:r>
      <w:r w:rsidRPr="005A2C45">
        <w:rPr>
          <w:rFonts w:ascii="Arial" w:eastAsia="Times New Roman" w:hAnsi="Arial" w:cs="Arial"/>
          <w:color w:val="000000"/>
          <w:lang w:eastAsia="es-ES"/>
        </w:rPr>
        <w:br/>
        <w:t>“El Producto Interno Bruto (PIB) de la construcción ha mantenido tasas de crecimiento positivas desde el año 2004 con un promedio de 8,53%”, sostiene la respuesta de Caboco a un cuestionario que envío Cambio.</w:t>
      </w:r>
      <w:r w:rsidRPr="005A2C45">
        <w:rPr>
          <w:rFonts w:ascii="Arial" w:eastAsia="Times New Roman" w:hAnsi="Arial" w:cs="Arial"/>
          <w:color w:val="000000"/>
          <w:lang w:eastAsia="es-ES"/>
        </w:rPr>
        <w:br/>
        <w:t>Hasta diciembre del año pasado, el PIB de la construcción creció hasta 10,64%, según los datos oficiales de Caboco.</w:t>
      </w:r>
    </w:p>
    <w:p w:rsidR="00922904" w:rsidRPr="005A2C45" w:rsidRDefault="00922904" w:rsidP="005A2C45">
      <w:pPr>
        <w:shd w:val="clear" w:color="auto" w:fill="FFFFFF"/>
        <w:spacing w:after="0" w:line="360" w:lineRule="auto"/>
        <w:jc w:val="both"/>
        <w:rPr>
          <w:rFonts w:ascii="Arial" w:eastAsia="Times New Roman" w:hAnsi="Arial" w:cs="Arial"/>
          <w:color w:val="000000"/>
          <w:lang w:eastAsia="es-ES"/>
        </w:rPr>
      </w:pPr>
      <w:r w:rsidRPr="005A2C45">
        <w:rPr>
          <w:rFonts w:ascii="Arial" w:eastAsia="Times New Roman" w:hAnsi="Arial" w:cs="Arial"/>
          <w:color w:val="000000"/>
          <w:lang w:eastAsia="es-ES"/>
        </w:rPr>
        <w:br/>
        <w:t>De acuerdo con el Índice Global de Actividad Económica (IGAE), hasta marzo de 2014 la economía boliviana creció 6,49% gracias al impulso de la construcción (10,79%), industria manufacturera (6,45%), comercio (4,25%) y minería (3,03%), entre otros sectores.</w:t>
      </w:r>
    </w:p>
    <w:p w:rsidR="00DC3CC1" w:rsidRPr="005A2C45" w:rsidRDefault="00DC3CC1" w:rsidP="005A2C45">
      <w:pPr>
        <w:spacing w:line="360" w:lineRule="auto"/>
        <w:jc w:val="both"/>
        <w:rPr>
          <w:rFonts w:ascii="Arial" w:eastAsia="Times New Roman" w:hAnsi="Arial" w:cs="Arial"/>
          <w:b/>
          <w:color w:val="FF0000"/>
          <w:u w:val="single"/>
          <w:lang w:eastAsia="es-MX"/>
        </w:rPr>
      </w:pPr>
    </w:p>
    <w:p w:rsidR="00DC3CC1" w:rsidRDefault="00DC3CC1" w:rsidP="005A2C45">
      <w:pPr>
        <w:spacing w:line="360" w:lineRule="auto"/>
        <w:jc w:val="both"/>
        <w:rPr>
          <w:rFonts w:ascii="Arial" w:eastAsia="Times New Roman" w:hAnsi="Arial" w:cs="Arial"/>
          <w:b/>
          <w:color w:val="FF0000"/>
          <w:u w:val="single"/>
          <w:lang w:eastAsia="es-MX"/>
        </w:rPr>
      </w:pPr>
    </w:p>
    <w:p w:rsidR="00CD18D6" w:rsidRDefault="00CD18D6" w:rsidP="005A2C45">
      <w:pPr>
        <w:spacing w:line="360" w:lineRule="auto"/>
        <w:jc w:val="both"/>
        <w:rPr>
          <w:rFonts w:ascii="Arial" w:eastAsia="Times New Roman" w:hAnsi="Arial" w:cs="Arial"/>
          <w:b/>
          <w:color w:val="FF0000"/>
          <w:u w:val="single"/>
          <w:lang w:eastAsia="es-MX"/>
        </w:rPr>
      </w:pPr>
    </w:p>
    <w:p w:rsidR="00CD18D6" w:rsidRPr="005A2C45" w:rsidRDefault="00CD18D6" w:rsidP="005A2C45">
      <w:pPr>
        <w:spacing w:line="360" w:lineRule="auto"/>
        <w:jc w:val="both"/>
        <w:rPr>
          <w:rFonts w:ascii="Arial" w:eastAsia="Times New Roman" w:hAnsi="Arial" w:cs="Arial"/>
          <w:b/>
          <w:color w:val="FF0000"/>
          <w:u w:val="single"/>
          <w:lang w:eastAsia="es-MX"/>
        </w:rPr>
      </w:pPr>
    </w:p>
    <w:p w:rsidR="00E12623" w:rsidRDefault="00E320D2" w:rsidP="002B3362">
      <w:pPr>
        <w:spacing w:line="360" w:lineRule="auto"/>
        <w:jc w:val="both"/>
        <w:rPr>
          <w:rFonts w:ascii="Arial" w:eastAsia="Times New Roman" w:hAnsi="Arial" w:cs="Arial"/>
          <w:b/>
          <w:color w:val="FF0000"/>
          <w:u w:val="single"/>
          <w:lang w:eastAsia="es-MX"/>
        </w:rPr>
      </w:pPr>
      <w:r w:rsidRPr="005A2C45">
        <w:rPr>
          <w:rFonts w:ascii="Arial" w:eastAsia="Times New Roman" w:hAnsi="Arial" w:cs="Arial"/>
          <w:b/>
          <w:color w:val="FF0000"/>
          <w:u w:val="single"/>
          <w:lang w:eastAsia="es-MX"/>
        </w:rPr>
        <w:lastRenderedPageBreak/>
        <w:t>3.- Evaluación Y Estado Del Sector</w:t>
      </w:r>
    </w:p>
    <w:p w:rsidR="005A2C45" w:rsidRPr="005A2C45" w:rsidRDefault="005A2C45" w:rsidP="005A2C45">
      <w:pPr>
        <w:spacing w:before="100" w:beforeAutospacing="1" w:after="100" w:afterAutospacing="1" w:line="240" w:lineRule="auto"/>
        <w:jc w:val="both"/>
        <w:rPr>
          <w:rFonts w:ascii="Arial" w:eastAsia="Times New Roman" w:hAnsi="Arial" w:cs="Arial"/>
          <w:b/>
          <w:color w:val="FF0000"/>
          <w:u w:val="single"/>
          <w:lang w:eastAsia="es-BO"/>
        </w:rPr>
      </w:pPr>
      <w:r w:rsidRPr="005A2C45">
        <w:rPr>
          <w:rFonts w:ascii="Arial" w:eastAsia="Times New Roman" w:hAnsi="Arial" w:cs="Arial"/>
          <w:b/>
          <w:color w:val="FF0000"/>
          <w:u w:val="single"/>
          <w:lang w:eastAsia="es-BO"/>
        </w:rPr>
        <w:t xml:space="preserve">Evaluación </w:t>
      </w:r>
    </w:p>
    <w:p w:rsidR="005A2C45" w:rsidRPr="005A2C45" w:rsidRDefault="005A2C45" w:rsidP="005A2C45">
      <w:pPr>
        <w:spacing w:before="100" w:beforeAutospacing="1" w:after="100" w:afterAutospacing="1" w:line="240" w:lineRule="auto"/>
        <w:jc w:val="both"/>
        <w:rPr>
          <w:rFonts w:ascii="Arial" w:eastAsia="Times New Roman" w:hAnsi="Arial" w:cs="Arial"/>
          <w:lang w:eastAsia="es-BO"/>
        </w:rPr>
      </w:pPr>
      <w:r w:rsidRPr="005A2C45">
        <w:rPr>
          <w:rFonts w:ascii="Arial" w:eastAsia="Times New Roman" w:hAnsi="Arial" w:cs="Arial"/>
          <w:lang w:eastAsia="es-BO"/>
        </w:rPr>
        <w:t>De enero a septiembre de este año, el rubro de la construcción tuvo un crecimiento del 8,53% debido, fundamentalmente, a que se levantaron más edificios residenciales y a las obras en el sector público, informó el presidente de la Cámara Boliviana de la Construcción (Caboco), Christian Eduardo.</w:t>
      </w:r>
    </w:p>
    <w:p w:rsidR="005A2C45" w:rsidRPr="005A2C45" w:rsidRDefault="005A2C45" w:rsidP="005A2C45">
      <w:pPr>
        <w:spacing w:before="100" w:beforeAutospacing="1" w:after="100" w:afterAutospacing="1" w:line="240" w:lineRule="auto"/>
        <w:jc w:val="both"/>
        <w:rPr>
          <w:rFonts w:ascii="Arial" w:eastAsia="Times New Roman" w:hAnsi="Arial" w:cs="Arial"/>
          <w:color w:val="000000" w:themeColor="text1"/>
          <w:lang w:eastAsia="es-BO"/>
        </w:rPr>
      </w:pPr>
      <w:r w:rsidRPr="005A2C45">
        <w:rPr>
          <w:rFonts w:ascii="Arial" w:eastAsia="Times New Roman" w:hAnsi="Arial" w:cs="Arial"/>
          <w:color w:val="000000" w:themeColor="text1"/>
          <w:lang w:eastAsia="es-BO"/>
        </w:rPr>
        <w:t>El Gobierno anunció que la inversión pública de $us 4.519 millones en 2014 se incrementará a $us 6.179 millones en 2015, un 37% más respecto a lo programado para este año. De este monto, el 69% de los recursos se destinará a infraestructura y al rubro productivo.</w:t>
      </w:r>
    </w:p>
    <w:p w:rsidR="005A2C45" w:rsidRPr="005A2C45" w:rsidRDefault="005A2C45" w:rsidP="005A2C45">
      <w:pPr>
        <w:spacing w:before="100" w:beforeAutospacing="1" w:after="100" w:afterAutospacing="1" w:line="240" w:lineRule="auto"/>
        <w:jc w:val="both"/>
        <w:rPr>
          <w:rFonts w:ascii="Arial" w:eastAsia="Times New Roman" w:hAnsi="Arial" w:cs="Arial"/>
          <w:color w:val="000000" w:themeColor="text1"/>
          <w:lang w:eastAsia="es-BO"/>
        </w:rPr>
      </w:pPr>
      <w:r w:rsidRPr="005A2C45">
        <w:rPr>
          <w:rFonts w:ascii="Arial" w:eastAsia="Times New Roman" w:hAnsi="Arial" w:cs="Arial"/>
          <w:color w:val="000000" w:themeColor="text1"/>
          <w:lang w:eastAsia="es-BO"/>
        </w:rPr>
        <w:t xml:space="preserve"> Eduardo informó que de acuerdo con las estadísticas y permisos de construcción aprobados por las alcaldías de las ciudades capitales, expresados en superficie, hay una concentración de los mismos en La Paz, Cochabamba y Santa Cruz de la Sierra.  </w:t>
      </w:r>
    </w:p>
    <w:p w:rsidR="005A2C45" w:rsidRPr="005A2C45" w:rsidRDefault="005A2C45" w:rsidP="005A2C45">
      <w:pPr>
        <w:spacing w:before="100" w:beforeAutospacing="1" w:after="100" w:afterAutospacing="1" w:line="240" w:lineRule="auto"/>
        <w:jc w:val="both"/>
        <w:rPr>
          <w:rFonts w:ascii="Arial" w:eastAsia="Times New Roman" w:hAnsi="Arial" w:cs="Arial"/>
          <w:color w:val="000000" w:themeColor="text1"/>
          <w:lang w:eastAsia="es-BO"/>
        </w:rPr>
      </w:pPr>
      <w:r w:rsidRPr="005A2C45">
        <w:rPr>
          <w:rFonts w:ascii="Arial" w:eastAsia="Times New Roman" w:hAnsi="Arial" w:cs="Arial"/>
          <w:color w:val="000000" w:themeColor="text1"/>
          <w:lang w:eastAsia="es-BO"/>
        </w:rPr>
        <w:t>En la infografía se muestra que La Paz lidera con 429.694 “permisos de construcción” (expresados en metros cuadrados) aprobados hasta junio de este año. En segundo lugar, se ubica Santa Cruz con 345.365 y tercero aparece Cochabamba con 275.984 solicitudes, en el mismo periodo.</w:t>
      </w:r>
    </w:p>
    <w:p w:rsidR="00D73D6B" w:rsidRPr="005A2C45" w:rsidRDefault="00D73D6B" w:rsidP="005A2C45">
      <w:pPr>
        <w:pStyle w:val="Prrafodelista"/>
        <w:numPr>
          <w:ilvl w:val="0"/>
          <w:numId w:val="7"/>
        </w:numPr>
        <w:spacing w:before="100" w:beforeAutospacing="1" w:after="100" w:afterAutospacing="1" w:line="240" w:lineRule="auto"/>
        <w:jc w:val="both"/>
        <w:outlineLvl w:val="1"/>
        <w:rPr>
          <w:rFonts w:ascii="Arial" w:eastAsia="Times New Roman" w:hAnsi="Arial" w:cs="Arial"/>
          <w:b/>
          <w:bCs/>
          <w:color w:val="FF0000"/>
          <w:lang w:eastAsia="es-BO"/>
        </w:rPr>
      </w:pPr>
      <w:r w:rsidRPr="005A2C45">
        <w:rPr>
          <w:rFonts w:ascii="Arial" w:eastAsia="Times New Roman" w:hAnsi="Arial" w:cs="Arial"/>
          <w:b/>
          <w:bCs/>
          <w:color w:val="FF0000"/>
          <w:lang w:eastAsia="es-BO"/>
        </w:rPr>
        <w:t>Construcción apunta a un precio de hasta $us 60.000 por departamento</w:t>
      </w:r>
    </w:p>
    <w:p w:rsidR="00D73D6B" w:rsidRPr="005A2C45" w:rsidRDefault="00D73D6B" w:rsidP="005A2C45">
      <w:pPr>
        <w:spacing w:before="100" w:beforeAutospacing="1" w:after="100" w:afterAutospacing="1" w:line="240" w:lineRule="auto"/>
        <w:jc w:val="both"/>
        <w:rPr>
          <w:rFonts w:ascii="Arial" w:eastAsia="Times New Roman" w:hAnsi="Arial" w:cs="Arial"/>
          <w:lang w:eastAsia="es-BO"/>
        </w:rPr>
      </w:pPr>
      <w:r w:rsidRPr="005A2C45">
        <w:rPr>
          <w:rFonts w:ascii="Arial" w:eastAsia="Times New Roman" w:hAnsi="Arial" w:cs="Arial"/>
          <w:lang w:eastAsia="es-BO"/>
        </w:rPr>
        <w:t>Christian Eduardo. El titular de la Cámara Boliviana de la Construcción dijo que las empresas del sector crecieron en 7,6% en 2013, impulsadas por el déficit habitacional del país y la “atrayente” oferta de créditos para vivienda, lo que generó un amplio mercado para los edificios multifamiliares. Demandó claridad en la normativa tributaria para el negocio inmobiliario y una norma de contratación adecuada al contexto del país, para que los privados puedan adjudicarse obras públicas.</w:t>
      </w:r>
    </w:p>
    <w:p w:rsidR="00D73D6B" w:rsidRPr="005A2C45" w:rsidRDefault="00D73D6B" w:rsidP="005A2C45">
      <w:pPr>
        <w:pStyle w:val="Prrafodelista"/>
        <w:numPr>
          <w:ilvl w:val="0"/>
          <w:numId w:val="7"/>
        </w:numPr>
        <w:spacing w:before="100" w:beforeAutospacing="1" w:after="100" w:afterAutospacing="1" w:line="240" w:lineRule="auto"/>
        <w:jc w:val="both"/>
        <w:rPr>
          <w:rFonts w:ascii="Arial" w:eastAsia="Times New Roman" w:hAnsi="Arial" w:cs="Arial"/>
          <w:color w:val="FF0000"/>
          <w:lang w:eastAsia="es-BO"/>
        </w:rPr>
      </w:pPr>
      <w:r w:rsidRPr="005A2C45">
        <w:rPr>
          <w:rFonts w:ascii="Arial" w:eastAsia="Times New Roman" w:hAnsi="Arial" w:cs="Arial"/>
          <w:b/>
          <w:bCs/>
          <w:color w:val="FF0000"/>
          <w:lang w:eastAsia="es-BO"/>
        </w:rPr>
        <w:t>¿Cuál es su evaluación sobre  el comportamiento del sector de la construcción en 2013?</w:t>
      </w:r>
    </w:p>
    <w:p w:rsidR="00D73D6B" w:rsidRDefault="00D73D6B" w:rsidP="005A2C45">
      <w:pPr>
        <w:spacing w:before="100" w:beforeAutospacing="1" w:after="100" w:afterAutospacing="1" w:line="240" w:lineRule="auto"/>
        <w:jc w:val="both"/>
        <w:rPr>
          <w:rFonts w:ascii="Arial" w:eastAsia="Times New Roman" w:hAnsi="Arial" w:cs="Arial"/>
          <w:lang w:eastAsia="es-BO"/>
        </w:rPr>
      </w:pPr>
      <w:r w:rsidRPr="005A2C45">
        <w:rPr>
          <w:rFonts w:ascii="Arial" w:eastAsia="Times New Roman" w:hAnsi="Arial" w:cs="Arial"/>
          <w:lang w:eastAsia="es-BO"/>
        </w:rPr>
        <w:t>— En los últimos años, la construcción ha tenido un crecimiento promedio anual de entre 8 a 10%, un índice que también se refleja en la industria del cemento. El año pasado, el sector registró un alza del 7,6%. El déficit de vivienda existente en el país generó un amplio mercado para la construcción de edificios multifamiliares. Esa actividad fue impulsada en gran parte por una atrayente oferta de créditos de diferentes entidades financieras. La dinamización de los rubros bancario y de construcción fue acompañada por la ejecución de varios proyectos en el país. En 2013, la cartera de préstamo destinada al sector productivo —gran empresa y pequeña y mediana empresa, microempresa— llegó a $us 3.308 millones, que es el 27,1% del total de la cartera, según datos de la Autoridad de Supervisión del Sistema Financiero (Asfi). Esta entidad resaltó que la construcción fue uno de los rubros de mayor ascenso, con $us 68 millones.</w:t>
      </w:r>
    </w:p>
    <w:p w:rsidR="00370110" w:rsidRDefault="00370110" w:rsidP="004C2646">
      <w:pPr>
        <w:autoSpaceDE w:val="0"/>
        <w:autoSpaceDN w:val="0"/>
        <w:adjustRightInd w:val="0"/>
        <w:spacing w:after="0" w:line="360" w:lineRule="auto"/>
        <w:jc w:val="both"/>
        <w:rPr>
          <w:rFonts w:ascii="Arial" w:hAnsi="Arial" w:cs="Arial"/>
          <w:bCs/>
          <w:color w:val="000000" w:themeColor="text1"/>
        </w:rPr>
      </w:pPr>
    </w:p>
    <w:p w:rsidR="00370110" w:rsidRDefault="00370110" w:rsidP="004C2646">
      <w:pPr>
        <w:autoSpaceDE w:val="0"/>
        <w:autoSpaceDN w:val="0"/>
        <w:adjustRightInd w:val="0"/>
        <w:spacing w:after="0" w:line="360" w:lineRule="auto"/>
        <w:jc w:val="both"/>
        <w:rPr>
          <w:rFonts w:ascii="Arial" w:hAnsi="Arial" w:cs="Arial"/>
          <w:bCs/>
          <w:color w:val="000000" w:themeColor="text1"/>
        </w:rPr>
      </w:pPr>
    </w:p>
    <w:p w:rsidR="004C2646" w:rsidRDefault="004C2646" w:rsidP="004C2646">
      <w:pPr>
        <w:autoSpaceDE w:val="0"/>
        <w:autoSpaceDN w:val="0"/>
        <w:adjustRightInd w:val="0"/>
        <w:spacing w:after="0" w:line="360" w:lineRule="auto"/>
        <w:jc w:val="both"/>
        <w:rPr>
          <w:rFonts w:ascii="Arial" w:hAnsi="Arial" w:cs="Arial"/>
          <w:bCs/>
          <w:iCs/>
          <w:color w:val="000000" w:themeColor="text1"/>
        </w:rPr>
      </w:pPr>
      <w:r w:rsidRPr="004C2646">
        <w:rPr>
          <w:rFonts w:ascii="Arial" w:hAnsi="Arial" w:cs="Arial"/>
          <w:bCs/>
          <w:color w:val="000000" w:themeColor="text1"/>
        </w:rPr>
        <w:lastRenderedPageBreak/>
        <w:t xml:space="preserve">¿Cómo está el sector constructor? </w:t>
      </w:r>
    </w:p>
    <w:p w:rsidR="004C2646" w:rsidRPr="004C2646" w:rsidRDefault="004C2646" w:rsidP="004C2646">
      <w:pPr>
        <w:autoSpaceDE w:val="0"/>
        <w:autoSpaceDN w:val="0"/>
        <w:adjustRightInd w:val="0"/>
        <w:spacing w:after="0" w:line="360" w:lineRule="auto"/>
        <w:jc w:val="both"/>
        <w:rPr>
          <w:rFonts w:ascii="Arial" w:hAnsi="Arial" w:cs="Arial"/>
          <w:bCs/>
          <w:iCs/>
          <w:color w:val="000000" w:themeColor="text1"/>
        </w:rPr>
      </w:pPr>
    </w:p>
    <w:p w:rsidR="004C2646" w:rsidRPr="004C2646" w:rsidRDefault="004C2646" w:rsidP="004C2646">
      <w:pPr>
        <w:spacing w:line="360" w:lineRule="auto"/>
        <w:jc w:val="both"/>
        <w:rPr>
          <w:rFonts w:ascii="Arial" w:hAnsi="Arial" w:cs="Arial"/>
          <w:bCs/>
          <w:iCs/>
          <w:color w:val="000000" w:themeColor="text1"/>
        </w:rPr>
      </w:pPr>
      <w:r w:rsidRPr="004C2646">
        <w:rPr>
          <w:rFonts w:ascii="Arial" w:hAnsi="Arial" w:cs="Arial"/>
          <w:bCs/>
          <w:iCs/>
          <w:color w:val="000000" w:themeColor="text1"/>
        </w:rPr>
        <w:t xml:space="preserve">Este año un análisis de percepción del mercado constructor a partir de diferentes aristas que buscan proporcionar una radiografía situacional por demás interesante. En consecuencia, Nueva Economía se adoptó una medición sostenida por los resultados de un sondeo de opinión realizado a altos directivos de importantes empresas constructoras del eje troncal boliviano. </w:t>
      </w:r>
    </w:p>
    <w:p w:rsidR="004C2646" w:rsidRPr="004C2646" w:rsidRDefault="004C2646" w:rsidP="004C2646">
      <w:pPr>
        <w:spacing w:line="360" w:lineRule="auto"/>
        <w:jc w:val="both"/>
        <w:rPr>
          <w:rFonts w:ascii="Arial" w:hAnsi="Arial" w:cs="Arial"/>
          <w:bCs/>
          <w:iCs/>
          <w:color w:val="000000" w:themeColor="text1"/>
        </w:rPr>
      </w:pPr>
      <w:r w:rsidRPr="004C2646">
        <w:rPr>
          <w:rFonts w:ascii="Arial" w:hAnsi="Arial" w:cs="Arial"/>
          <w:color w:val="000000" w:themeColor="text1"/>
        </w:rPr>
        <w:t>Se primó en esta consulta temas importantes</w:t>
      </w:r>
      <w:r w:rsidRPr="004C2646">
        <w:rPr>
          <w:rFonts w:ascii="Arial" w:hAnsi="Arial" w:cs="Arial"/>
          <w:bCs/>
          <w:iCs/>
          <w:color w:val="000000" w:themeColor="text1"/>
        </w:rPr>
        <w:t xml:space="preserve"> </w:t>
      </w:r>
      <w:r w:rsidRPr="004C2646">
        <w:rPr>
          <w:rFonts w:ascii="Arial" w:hAnsi="Arial" w:cs="Arial"/>
          <w:color w:val="000000" w:themeColor="text1"/>
        </w:rPr>
        <w:t>para el sector, como la relación</w:t>
      </w:r>
      <w:r w:rsidRPr="004C2646">
        <w:rPr>
          <w:rFonts w:ascii="Arial" w:hAnsi="Arial" w:cs="Arial"/>
          <w:bCs/>
          <w:iCs/>
          <w:color w:val="000000" w:themeColor="text1"/>
        </w:rPr>
        <w:t xml:space="preserve"> </w:t>
      </w:r>
      <w:r w:rsidRPr="004C2646">
        <w:rPr>
          <w:rFonts w:ascii="Arial" w:hAnsi="Arial" w:cs="Arial"/>
          <w:color w:val="000000" w:themeColor="text1"/>
        </w:rPr>
        <w:t>calidad/precio, asesoramiento técnico,</w:t>
      </w:r>
      <w:r w:rsidRPr="004C2646">
        <w:rPr>
          <w:rFonts w:ascii="Arial" w:hAnsi="Arial" w:cs="Arial"/>
          <w:bCs/>
          <w:iCs/>
          <w:color w:val="000000" w:themeColor="text1"/>
        </w:rPr>
        <w:t xml:space="preserve"> </w:t>
      </w:r>
      <w:r w:rsidRPr="004C2646">
        <w:rPr>
          <w:rFonts w:ascii="Arial" w:hAnsi="Arial" w:cs="Arial"/>
          <w:color w:val="000000" w:themeColor="text1"/>
        </w:rPr>
        <w:t>líneas de crédito, crecimiento y la preferencia</w:t>
      </w:r>
      <w:r w:rsidRPr="004C2646">
        <w:rPr>
          <w:rFonts w:ascii="Arial" w:hAnsi="Arial" w:cs="Arial"/>
          <w:bCs/>
          <w:iCs/>
          <w:color w:val="000000" w:themeColor="text1"/>
        </w:rPr>
        <w:t xml:space="preserve"> </w:t>
      </w:r>
      <w:r w:rsidRPr="004C2646">
        <w:rPr>
          <w:rFonts w:ascii="Arial" w:hAnsi="Arial" w:cs="Arial"/>
          <w:color w:val="000000" w:themeColor="text1"/>
        </w:rPr>
        <w:t>en cuanto a la selección de</w:t>
      </w:r>
      <w:r w:rsidRPr="004C2646">
        <w:rPr>
          <w:rFonts w:ascii="Arial" w:hAnsi="Arial" w:cs="Arial"/>
          <w:bCs/>
          <w:iCs/>
          <w:color w:val="000000" w:themeColor="text1"/>
        </w:rPr>
        <w:t xml:space="preserve"> </w:t>
      </w:r>
      <w:r w:rsidRPr="004C2646">
        <w:rPr>
          <w:rFonts w:ascii="Arial" w:hAnsi="Arial" w:cs="Arial"/>
          <w:color w:val="000000" w:themeColor="text1"/>
        </w:rPr>
        <w:t>proveedores de materiales para la construcción.</w:t>
      </w:r>
    </w:p>
    <w:p w:rsidR="004C2646" w:rsidRPr="004C2646" w:rsidRDefault="004C2646" w:rsidP="004C2646">
      <w:pPr>
        <w:spacing w:line="360" w:lineRule="auto"/>
        <w:jc w:val="both"/>
        <w:rPr>
          <w:rFonts w:ascii="Arial" w:hAnsi="Arial" w:cs="Arial"/>
          <w:color w:val="000000" w:themeColor="text1"/>
        </w:rPr>
      </w:pPr>
      <w:r w:rsidRPr="004C2646">
        <w:rPr>
          <w:rFonts w:ascii="Arial" w:hAnsi="Arial" w:cs="Arial"/>
          <w:color w:val="000000" w:themeColor="text1"/>
        </w:rPr>
        <w:t xml:space="preserve">Es en este último punto que destacan empresas del nivel de </w:t>
      </w:r>
      <w:r w:rsidRPr="004C2646">
        <w:rPr>
          <w:rFonts w:ascii="Arial" w:hAnsi="Arial" w:cs="Arial"/>
          <w:b/>
          <w:color w:val="000000" w:themeColor="text1"/>
        </w:rPr>
        <w:t xml:space="preserve">Soboce, Monopol, Tecnopor y Duralit </w:t>
      </w:r>
      <w:r w:rsidRPr="004C2646">
        <w:rPr>
          <w:rFonts w:ascii="Arial" w:hAnsi="Arial" w:cs="Arial"/>
          <w:color w:val="000000" w:themeColor="text1"/>
        </w:rPr>
        <w:t>con un importante porcentaje de acercamiento a sus productos y servicios por parte de los consumidores. Asimismo es necesario destacar las respuestas que tienen las empresas constructoras alrededor de la situación actual de este rubro y la mirada a futuro que tienen dadas las condiciones del mercado.</w:t>
      </w:r>
    </w:p>
    <w:p w:rsidR="004C2646" w:rsidRPr="004C2646" w:rsidRDefault="004C2646" w:rsidP="004C2646">
      <w:pPr>
        <w:autoSpaceDE w:val="0"/>
        <w:autoSpaceDN w:val="0"/>
        <w:adjustRightInd w:val="0"/>
        <w:spacing w:after="0" w:line="360" w:lineRule="auto"/>
        <w:jc w:val="both"/>
        <w:rPr>
          <w:rFonts w:ascii="Arial" w:hAnsi="Arial" w:cs="Arial"/>
          <w:color w:val="000000" w:themeColor="text1"/>
        </w:rPr>
      </w:pPr>
      <w:r w:rsidRPr="004C2646">
        <w:rPr>
          <w:rFonts w:ascii="Arial" w:hAnsi="Arial" w:cs="Arial"/>
          <w:color w:val="000000" w:themeColor="text1"/>
        </w:rPr>
        <w:t>Es sabido que la situación económica que se vivió en estos últimos años dio paso al crecimiento de muchos sectores en Bolivia, especialmente el de la construcción, que vio los frutos del trabajo duro de muchas empresas; lo cual es percibido por aquellos que son el motor del mismo y que se demuestra con las opiniones recogidas en el sondeo.</w:t>
      </w:r>
    </w:p>
    <w:p w:rsidR="004C2646" w:rsidRPr="004C2646" w:rsidRDefault="004C2646" w:rsidP="004C2646">
      <w:pPr>
        <w:autoSpaceDE w:val="0"/>
        <w:autoSpaceDN w:val="0"/>
        <w:adjustRightInd w:val="0"/>
        <w:spacing w:after="0" w:line="360" w:lineRule="auto"/>
        <w:jc w:val="both"/>
        <w:rPr>
          <w:rFonts w:ascii="Arial" w:hAnsi="Arial" w:cs="Arial"/>
          <w:color w:val="000000" w:themeColor="text1"/>
        </w:rPr>
      </w:pPr>
      <w:r w:rsidRPr="004C2646">
        <w:rPr>
          <w:rFonts w:ascii="Arial" w:hAnsi="Arial" w:cs="Arial"/>
          <w:color w:val="000000" w:themeColor="text1"/>
        </w:rPr>
        <w:t xml:space="preserve">El análisis realizado respecto a este punto destaca que el 81% de las personas consultadas creen que el rubro está yendo por un buen camino y que a largo plazo esta situación podría consolidarse. </w:t>
      </w:r>
    </w:p>
    <w:p w:rsidR="004C2646" w:rsidRPr="004C2646" w:rsidRDefault="004C2646" w:rsidP="004C2646">
      <w:pPr>
        <w:autoSpaceDE w:val="0"/>
        <w:autoSpaceDN w:val="0"/>
        <w:adjustRightInd w:val="0"/>
        <w:spacing w:after="0" w:line="360" w:lineRule="auto"/>
        <w:jc w:val="both"/>
        <w:rPr>
          <w:rFonts w:ascii="Arial" w:hAnsi="Arial" w:cs="Arial"/>
          <w:color w:val="000000" w:themeColor="text1"/>
        </w:rPr>
      </w:pPr>
      <w:r w:rsidRPr="004C2646">
        <w:rPr>
          <w:rFonts w:ascii="Arial" w:hAnsi="Arial" w:cs="Arial"/>
          <w:color w:val="000000" w:themeColor="text1"/>
        </w:rPr>
        <w:t>Y de acuerdo a esto son los departamentos de Santa Cruz y La Paz los que presentan un mayor grado de positivismo entorno al tema con un</w:t>
      </w:r>
    </w:p>
    <w:p w:rsidR="004C2646" w:rsidRPr="00953BA9" w:rsidRDefault="004C2646" w:rsidP="00953BA9">
      <w:pPr>
        <w:autoSpaceDE w:val="0"/>
        <w:autoSpaceDN w:val="0"/>
        <w:adjustRightInd w:val="0"/>
        <w:spacing w:after="0" w:line="360" w:lineRule="auto"/>
        <w:jc w:val="both"/>
        <w:rPr>
          <w:rFonts w:ascii="Arial" w:hAnsi="Arial" w:cs="Arial"/>
          <w:color w:val="000000" w:themeColor="text1"/>
        </w:rPr>
      </w:pPr>
      <w:r w:rsidRPr="00953BA9">
        <w:rPr>
          <w:rFonts w:ascii="Arial" w:hAnsi="Arial" w:cs="Arial"/>
          <w:color w:val="000000" w:themeColor="text1"/>
        </w:rPr>
        <w:t>100% y 92% respectivamente.</w:t>
      </w:r>
    </w:p>
    <w:p w:rsidR="004C2646" w:rsidRPr="00953BA9" w:rsidRDefault="004C2646" w:rsidP="00953BA9">
      <w:pPr>
        <w:autoSpaceDE w:val="0"/>
        <w:autoSpaceDN w:val="0"/>
        <w:adjustRightInd w:val="0"/>
        <w:spacing w:after="0" w:line="360" w:lineRule="auto"/>
        <w:jc w:val="both"/>
        <w:rPr>
          <w:rFonts w:ascii="Arial" w:hAnsi="Arial" w:cs="Arial"/>
          <w:bCs/>
          <w:iCs/>
          <w:color w:val="000000" w:themeColor="text1"/>
        </w:rPr>
      </w:pPr>
      <w:r w:rsidRPr="00953BA9">
        <w:rPr>
          <w:rFonts w:ascii="Arial" w:hAnsi="Arial" w:cs="Arial"/>
          <w:bCs/>
          <w:iCs/>
          <w:color w:val="000000" w:themeColor="text1"/>
        </w:rPr>
        <w:t>El poder multiplicador del sector constructor se evidencia cada día con tan solo dar un paso fuera de casa. En su interior participan diversos actores económicos y sociales que dan un espaldarazo a la economía nacional, contagiándola de su dinamismo.</w:t>
      </w:r>
    </w:p>
    <w:p w:rsidR="004C2646" w:rsidRPr="00953BA9" w:rsidRDefault="004C2646" w:rsidP="00953BA9">
      <w:pPr>
        <w:autoSpaceDE w:val="0"/>
        <w:autoSpaceDN w:val="0"/>
        <w:adjustRightInd w:val="0"/>
        <w:spacing w:after="0" w:line="360" w:lineRule="auto"/>
        <w:jc w:val="both"/>
        <w:rPr>
          <w:rFonts w:ascii="Arial" w:hAnsi="Arial" w:cs="Arial"/>
          <w:color w:val="000000" w:themeColor="text1"/>
        </w:rPr>
      </w:pPr>
      <w:r w:rsidRPr="00953BA9">
        <w:rPr>
          <w:rFonts w:ascii="Arial" w:hAnsi="Arial" w:cs="Arial"/>
          <w:color w:val="000000" w:themeColor="text1"/>
        </w:rPr>
        <w:t xml:space="preserve">La ascendente realidad que se tiene en Bolivia se compara con la que se vive en países vecinos, donde la inversión pública juega un rol importante, más aún en el caso nuestro, donde en los últimos cinco años llegó a los 1.000 millones de dólares de inversión aproximadamente, mientras que en el sector privado se alcanzó casi 1.300 millones de </w:t>
      </w:r>
      <w:r w:rsidRPr="00953BA9">
        <w:rPr>
          <w:rFonts w:ascii="Arial" w:hAnsi="Arial" w:cs="Arial"/>
          <w:color w:val="000000" w:themeColor="text1"/>
        </w:rPr>
        <w:lastRenderedPageBreak/>
        <w:t>dólares, esto gracias en gran parte</w:t>
      </w:r>
      <w:r w:rsidR="00953BA9" w:rsidRPr="00953BA9">
        <w:rPr>
          <w:rFonts w:ascii="Arial" w:hAnsi="Arial" w:cs="Arial"/>
          <w:color w:val="000000" w:themeColor="text1"/>
        </w:rPr>
        <w:t xml:space="preserve"> </w:t>
      </w:r>
      <w:r w:rsidRPr="00953BA9">
        <w:rPr>
          <w:rFonts w:ascii="Arial" w:hAnsi="Arial" w:cs="Arial"/>
          <w:color w:val="000000" w:themeColor="text1"/>
        </w:rPr>
        <w:t>al financiamiento otorgado tanto por</w:t>
      </w:r>
      <w:r w:rsidR="00953BA9" w:rsidRPr="00953BA9">
        <w:rPr>
          <w:rFonts w:ascii="Arial" w:hAnsi="Arial" w:cs="Arial"/>
          <w:color w:val="000000" w:themeColor="text1"/>
        </w:rPr>
        <w:t xml:space="preserve"> </w:t>
      </w:r>
      <w:r w:rsidRPr="00953BA9">
        <w:rPr>
          <w:rFonts w:ascii="Arial" w:hAnsi="Arial" w:cs="Arial"/>
          <w:color w:val="000000" w:themeColor="text1"/>
        </w:rPr>
        <w:t>el sistema bancario como el no tradicional</w:t>
      </w:r>
      <w:r w:rsidR="00953BA9">
        <w:rPr>
          <w:rFonts w:ascii="Arial" w:hAnsi="Arial" w:cs="Arial"/>
          <w:color w:val="000000" w:themeColor="text1"/>
        </w:rPr>
        <w:t xml:space="preserve"> </w:t>
      </w:r>
      <w:r w:rsidRPr="00953BA9">
        <w:rPr>
          <w:rFonts w:ascii="Arial" w:hAnsi="Arial" w:cs="Arial"/>
          <w:color w:val="000000" w:themeColor="text1"/>
        </w:rPr>
        <w:t>(no bancario).</w:t>
      </w:r>
    </w:p>
    <w:p w:rsidR="004C2646" w:rsidRDefault="004C2646" w:rsidP="00370110">
      <w:pPr>
        <w:autoSpaceDE w:val="0"/>
        <w:autoSpaceDN w:val="0"/>
        <w:adjustRightInd w:val="0"/>
        <w:spacing w:after="0" w:line="360" w:lineRule="auto"/>
        <w:jc w:val="both"/>
        <w:rPr>
          <w:rFonts w:ascii="Arial" w:hAnsi="Arial" w:cs="Arial"/>
          <w:noProof/>
          <w:color w:val="000000" w:themeColor="text1"/>
          <w:lang w:eastAsia="es-ES"/>
        </w:rPr>
      </w:pPr>
      <w:r w:rsidRPr="00953BA9">
        <w:rPr>
          <w:rFonts w:ascii="Arial" w:hAnsi="Arial" w:cs="Arial"/>
          <w:color w:val="000000" w:themeColor="text1"/>
        </w:rPr>
        <w:t>Un sector productivo presenta</w:t>
      </w:r>
      <w:r w:rsidR="00953BA9" w:rsidRPr="00953BA9">
        <w:rPr>
          <w:rFonts w:ascii="Arial" w:hAnsi="Arial" w:cs="Arial"/>
          <w:color w:val="000000" w:themeColor="text1"/>
        </w:rPr>
        <w:t xml:space="preserve"> </w:t>
      </w:r>
      <w:r w:rsidRPr="00953BA9">
        <w:rPr>
          <w:rFonts w:ascii="Arial" w:hAnsi="Arial" w:cs="Arial"/>
          <w:color w:val="000000" w:themeColor="text1"/>
        </w:rPr>
        <w:t>cambios a partir de los movimientos</w:t>
      </w:r>
      <w:r w:rsidR="00953BA9" w:rsidRPr="00953BA9">
        <w:rPr>
          <w:rFonts w:ascii="Arial" w:hAnsi="Arial" w:cs="Arial"/>
          <w:color w:val="000000" w:themeColor="text1"/>
        </w:rPr>
        <w:t xml:space="preserve"> </w:t>
      </w:r>
      <w:r w:rsidRPr="00953BA9">
        <w:rPr>
          <w:rFonts w:ascii="Arial" w:hAnsi="Arial" w:cs="Arial"/>
          <w:color w:val="000000" w:themeColor="text1"/>
        </w:rPr>
        <w:t>que se realicen en los diferentes contextos</w:t>
      </w:r>
      <w:r w:rsidR="00953BA9" w:rsidRPr="00953BA9">
        <w:rPr>
          <w:rFonts w:ascii="Arial" w:hAnsi="Arial" w:cs="Arial"/>
          <w:color w:val="000000" w:themeColor="text1"/>
        </w:rPr>
        <w:t xml:space="preserve"> </w:t>
      </w:r>
      <w:r w:rsidRPr="00953BA9">
        <w:rPr>
          <w:rFonts w:ascii="Arial" w:hAnsi="Arial" w:cs="Arial"/>
          <w:color w:val="000000" w:themeColor="text1"/>
        </w:rPr>
        <w:t>que lo rodean</w:t>
      </w:r>
      <w:r w:rsidR="00370110">
        <w:rPr>
          <w:rFonts w:ascii="Arial" w:hAnsi="Arial" w:cs="Arial"/>
          <w:color w:val="000000" w:themeColor="text1"/>
        </w:rPr>
        <w:t>.</w:t>
      </w:r>
    </w:p>
    <w:p w:rsidR="00370110" w:rsidRDefault="00370110" w:rsidP="00D6509A">
      <w:pPr>
        <w:spacing w:before="100" w:beforeAutospacing="1" w:after="100" w:afterAutospacing="1" w:line="240" w:lineRule="auto"/>
        <w:jc w:val="both"/>
        <w:outlineLvl w:val="1"/>
        <w:rPr>
          <w:rFonts w:ascii="Arial" w:eastAsia="Times New Roman" w:hAnsi="Arial" w:cs="Arial"/>
          <w:b/>
          <w:bCs/>
          <w:lang w:eastAsia="es-BO"/>
        </w:rPr>
      </w:pPr>
    </w:p>
    <w:p w:rsidR="00D6509A" w:rsidRPr="005A2C45" w:rsidRDefault="00370110" w:rsidP="00D6509A">
      <w:pPr>
        <w:spacing w:before="100" w:beforeAutospacing="1" w:after="100" w:afterAutospacing="1" w:line="240" w:lineRule="auto"/>
        <w:jc w:val="both"/>
        <w:outlineLvl w:val="1"/>
        <w:rPr>
          <w:rFonts w:ascii="Arial" w:eastAsia="Times New Roman" w:hAnsi="Arial" w:cs="Arial"/>
          <w:b/>
          <w:bCs/>
          <w:lang w:eastAsia="es-BO"/>
        </w:rPr>
      </w:pPr>
      <w:r w:rsidRPr="005A2C45">
        <w:rPr>
          <w:rFonts w:ascii="Arial" w:eastAsia="Times New Roman" w:hAnsi="Arial" w:cs="Arial"/>
          <w:noProof/>
          <w:lang w:eastAsia="es-ES"/>
        </w:rPr>
        <w:drawing>
          <wp:anchor distT="0" distB="0" distL="114300" distR="114300" simplePos="0" relativeHeight="251691520" behindDoc="1" locked="0" layoutInCell="1" allowOverlap="1" wp14:anchorId="7F986402" wp14:editId="1441A1D5">
            <wp:simplePos x="0" y="0"/>
            <wp:positionH relativeFrom="column">
              <wp:posOffset>-351790</wp:posOffset>
            </wp:positionH>
            <wp:positionV relativeFrom="paragraph">
              <wp:posOffset>1088390</wp:posOffset>
            </wp:positionV>
            <wp:extent cx="6585585" cy="5391785"/>
            <wp:effectExtent l="0" t="0" r="5715" b="0"/>
            <wp:wrapTight wrapText="bothSides">
              <wp:wrapPolygon edited="0">
                <wp:start x="0" y="0"/>
                <wp:lineTo x="0" y="21521"/>
                <wp:lineTo x="21556" y="21521"/>
                <wp:lineTo x="21556" y="0"/>
                <wp:lineTo x="0" y="0"/>
              </wp:wrapPolygon>
            </wp:wrapTight>
            <wp:docPr id="3" name="Imagen 3" descr="Info permisos de constru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 permisos de construcción."/>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56"/>
                    <a:stretch/>
                  </pic:blipFill>
                  <pic:spPr bwMode="auto">
                    <a:xfrm>
                      <a:off x="0" y="0"/>
                      <a:ext cx="6585585" cy="539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09A" w:rsidRPr="005A2C45">
        <w:rPr>
          <w:rFonts w:ascii="Arial" w:eastAsia="Times New Roman" w:hAnsi="Arial" w:cs="Arial"/>
          <w:b/>
          <w:bCs/>
          <w:lang w:eastAsia="es-BO"/>
        </w:rPr>
        <w:t xml:space="preserve">La construcción crece 8,53% de edificios </w:t>
      </w:r>
    </w:p>
    <w:p w:rsidR="00D6509A" w:rsidRPr="005A2C45" w:rsidRDefault="00D6509A" w:rsidP="00D6509A">
      <w:pPr>
        <w:spacing w:before="100" w:beforeAutospacing="1" w:after="100" w:afterAutospacing="1" w:line="360" w:lineRule="auto"/>
        <w:jc w:val="both"/>
        <w:rPr>
          <w:rFonts w:ascii="Arial" w:eastAsia="Times New Roman" w:hAnsi="Arial" w:cs="Arial"/>
          <w:lang w:eastAsia="es-MX"/>
        </w:rPr>
      </w:pPr>
    </w:p>
    <w:p w:rsidR="004C2646" w:rsidRDefault="004C2646" w:rsidP="005A2C45">
      <w:pPr>
        <w:spacing w:line="360" w:lineRule="auto"/>
        <w:jc w:val="both"/>
        <w:rPr>
          <w:rFonts w:ascii="Arial" w:hAnsi="Arial" w:cs="Arial"/>
          <w:noProof/>
          <w:color w:val="000000" w:themeColor="text1"/>
          <w:lang w:eastAsia="es-ES"/>
        </w:rPr>
      </w:pPr>
    </w:p>
    <w:p w:rsidR="004C2646" w:rsidRDefault="004C2646" w:rsidP="005A2C45">
      <w:pPr>
        <w:spacing w:line="360" w:lineRule="auto"/>
        <w:jc w:val="both"/>
        <w:rPr>
          <w:rFonts w:ascii="Arial" w:hAnsi="Arial" w:cs="Arial"/>
          <w:noProof/>
          <w:color w:val="000000" w:themeColor="text1"/>
          <w:lang w:eastAsia="es-ES"/>
        </w:rPr>
      </w:pPr>
    </w:p>
    <w:p w:rsidR="002B3362" w:rsidRDefault="00E320D2" w:rsidP="005A2C45">
      <w:pPr>
        <w:spacing w:line="360" w:lineRule="auto"/>
        <w:jc w:val="both"/>
        <w:rPr>
          <w:rFonts w:ascii="Arial" w:eastAsia="Times New Roman" w:hAnsi="Arial" w:cs="Arial"/>
          <w:b/>
          <w:color w:val="FF0000"/>
          <w:u w:val="single"/>
          <w:lang w:eastAsia="es-MX"/>
        </w:rPr>
      </w:pPr>
      <w:r w:rsidRPr="005A2C45">
        <w:rPr>
          <w:rFonts w:ascii="Arial" w:eastAsia="Times New Roman" w:hAnsi="Arial" w:cs="Arial"/>
          <w:b/>
          <w:color w:val="FF0000"/>
          <w:u w:val="single"/>
          <w:lang w:eastAsia="es-MX"/>
        </w:rPr>
        <w:lastRenderedPageBreak/>
        <w:t>4.- Marco Nor</w:t>
      </w:r>
      <w:bookmarkStart w:id="0" w:name="_GoBack"/>
      <w:bookmarkEnd w:id="0"/>
      <w:r w:rsidRPr="005A2C45">
        <w:rPr>
          <w:rFonts w:ascii="Arial" w:eastAsia="Times New Roman" w:hAnsi="Arial" w:cs="Arial"/>
          <w:b/>
          <w:color w:val="FF0000"/>
          <w:u w:val="single"/>
          <w:lang w:eastAsia="es-MX"/>
        </w:rPr>
        <w:t>mativo</w:t>
      </w:r>
    </w:p>
    <w:p w:rsidR="002B3362" w:rsidRPr="002B3362" w:rsidRDefault="002B3362" w:rsidP="002B3362">
      <w:pPr>
        <w:spacing w:line="360" w:lineRule="auto"/>
        <w:jc w:val="both"/>
        <w:rPr>
          <w:rFonts w:ascii="Arial" w:eastAsia="Times New Roman" w:hAnsi="Arial" w:cs="Arial"/>
          <w:color w:val="000000" w:themeColor="text1"/>
          <w:lang w:eastAsia="es-MX"/>
        </w:rPr>
      </w:pPr>
      <w:r w:rsidRPr="002B3362">
        <w:rPr>
          <w:rFonts w:ascii="Arial" w:eastAsia="Times New Roman" w:hAnsi="Arial" w:cs="Arial"/>
          <w:color w:val="000000" w:themeColor="text1"/>
          <w:lang w:eastAsia="es-MX"/>
        </w:rPr>
        <w:t>La construcción es una actividad que se la realiza a través de la pa</w:t>
      </w:r>
      <w:r>
        <w:rPr>
          <w:rFonts w:ascii="Arial" w:eastAsia="Times New Roman" w:hAnsi="Arial" w:cs="Arial"/>
          <w:color w:val="000000" w:themeColor="text1"/>
          <w:lang w:eastAsia="es-MX"/>
        </w:rPr>
        <w:t xml:space="preserve">rticipación del sector privado </w:t>
      </w:r>
      <w:r w:rsidRPr="002B3362">
        <w:rPr>
          <w:rFonts w:ascii="Arial" w:eastAsia="Times New Roman" w:hAnsi="Arial" w:cs="Arial"/>
          <w:color w:val="000000" w:themeColor="text1"/>
          <w:lang w:eastAsia="es-MX"/>
        </w:rPr>
        <w:t>donde intervienen una variedad de empresas de diferentes tamaños.</w:t>
      </w:r>
      <w:r>
        <w:rPr>
          <w:rFonts w:ascii="Arial" w:eastAsia="Times New Roman" w:hAnsi="Arial" w:cs="Arial"/>
          <w:color w:val="000000" w:themeColor="text1"/>
          <w:lang w:eastAsia="es-MX"/>
        </w:rPr>
        <w:t xml:space="preserve"> Si bien, la actividad privada </w:t>
      </w:r>
      <w:r w:rsidRPr="002B3362">
        <w:rPr>
          <w:rFonts w:ascii="Arial" w:eastAsia="Times New Roman" w:hAnsi="Arial" w:cs="Arial"/>
          <w:color w:val="000000" w:themeColor="text1"/>
          <w:lang w:eastAsia="es-MX"/>
        </w:rPr>
        <w:t>ha  contribuido  al  crecimiento  del  sector,  debe  señalarse  que  el</w:t>
      </w:r>
      <w:r>
        <w:rPr>
          <w:rFonts w:ascii="Arial" w:eastAsia="Times New Roman" w:hAnsi="Arial" w:cs="Arial"/>
          <w:color w:val="000000" w:themeColor="text1"/>
          <w:lang w:eastAsia="es-MX"/>
        </w:rPr>
        <w:t xml:space="preserve">  Estado  que  jugado  un  rol </w:t>
      </w:r>
      <w:r w:rsidRPr="002B3362">
        <w:rPr>
          <w:rFonts w:ascii="Arial" w:eastAsia="Times New Roman" w:hAnsi="Arial" w:cs="Arial"/>
          <w:color w:val="000000" w:themeColor="text1"/>
          <w:lang w:eastAsia="es-MX"/>
        </w:rPr>
        <w:t xml:space="preserve">importante en su desarrollo a lo largo de los últimos años, a través </w:t>
      </w:r>
      <w:r>
        <w:rPr>
          <w:rFonts w:ascii="Arial" w:eastAsia="Times New Roman" w:hAnsi="Arial" w:cs="Arial"/>
          <w:color w:val="000000" w:themeColor="text1"/>
          <w:lang w:eastAsia="es-MX"/>
        </w:rPr>
        <w:t xml:space="preserve">de la ejecución de importantes </w:t>
      </w:r>
      <w:r w:rsidRPr="002B3362">
        <w:rPr>
          <w:rFonts w:ascii="Arial" w:eastAsia="Times New Roman" w:hAnsi="Arial" w:cs="Arial"/>
          <w:color w:val="000000" w:themeColor="text1"/>
          <w:lang w:eastAsia="es-MX"/>
        </w:rPr>
        <w:t>proyectos de infraestructura básica que van desde la construcc</w:t>
      </w:r>
      <w:r>
        <w:rPr>
          <w:rFonts w:ascii="Arial" w:eastAsia="Times New Roman" w:hAnsi="Arial" w:cs="Arial"/>
          <w:color w:val="000000" w:themeColor="text1"/>
          <w:lang w:eastAsia="es-MX"/>
        </w:rPr>
        <w:t xml:space="preserve">ión de pequeñas postas médicas </w:t>
      </w:r>
      <w:r w:rsidRPr="002B3362">
        <w:rPr>
          <w:rFonts w:ascii="Arial" w:eastAsia="Times New Roman" w:hAnsi="Arial" w:cs="Arial"/>
          <w:color w:val="000000" w:themeColor="text1"/>
          <w:lang w:eastAsia="es-MX"/>
        </w:rPr>
        <w:t xml:space="preserve">hasta los grandes proyectos carreteros, de energía eléctrica y perforación de pozos. </w:t>
      </w:r>
    </w:p>
    <w:p w:rsidR="002B3362" w:rsidRPr="002B3362" w:rsidRDefault="002B3362" w:rsidP="002B3362">
      <w:pPr>
        <w:spacing w:line="360" w:lineRule="auto"/>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 </w:t>
      </w:r>
      <w:r w:rsidRPr="002B3362">
        <w:rPr>
          <w:rFonts w:ascii="Arial" w:eastAsia="Times New Roman" w:hAnsi="Arial" w:cs="Arial"/>
          <w:color w:val="000000" w:themeColor="text1"/>
          <w:lang w:eastAsia="es-MX"/>
        </w:rPr>
        <w:t>Si bien las diferentes instancias del nivel central del Estado, así como l</w:t>
      </w:r>
      <w:r>
        <w:rPr>
          <w:rFonts w:ascii="Arial" w:eastAsia="Times New Roman" w:hAnsi="Arial" w:cs="Arial"/>
          <w:color w:val="000000" w:themeColor="text1"/>
          <w:lang w:eastAsia="es-MX"/>
        </w:rPr>
        <w:t xml:space="preserve">as entidades territoriales son </w:t>
      </w:r>
      <w:r w:rsidRPr="002B3362">
        <w:rPr>
          <w:rFonts w:ascii="Arial" w:eastAsia="Times New Roman" w:hAnsi="Arial" w:cs="Arial"/>
          <w:color w:val="000000" w:themeColor="text1"/>
          <w:lang w:eastAsia="es-MX"/>
        </w:rPr>
        <w:t>las encargadas de velar por el desarrollo de los diferentes proyec</w:t>
      </w:r>
      <w:r>
        <w:rPr>
          <w:rFonts w:ascii="Arial" w:eastAsia="Times New Roman" w:hAnsi="Arial" w:cs="Arial"/>
          <w:color w:val="000000" w:themeColor="text1"/>
          <w:lang w:eastAsia="es-MX"/>
        </w:rPr>
        <w:t xml:space="preserve">tos de infraestructura básica, </w:t>
      </w:r>
      <w:r w:rsidRPr="002B3362">
        <w:rPr>
          <w:rFonts w:ascii="Arial" w:eastAsia="Times New Roman" w:hAnsi="Arial" w:cs="Arial"/>
          <w:color w:val="000000" w:themeColor="text1"/>
          <w:lang w:eastAsia="es-MX"/>
        </w:rPr>
        <w:t>conforme  a  las  competencias  asignadas,  a  nivel  del  Gobierno  centr</w:t>
      </w:r>
      <w:r>
        <w:rPr>
          <w:rFonts w:ascii="Arial" w:eastAsia="Times New Roman" w:hAnsi="Arial" w:cs="Arial"/>
          <w:color w:val="000000" w:themeColor="text1"/>
          <w:lang w:eastAsia="es-MX"/>
        </w:rPr>
        <w:t xml:space="preserve">al,  el  Ministerio  de  Obras </w:t>
      </w:r>
      <w:r w:rsidRPr="002B3362">
        <w:rPr>
          <w:rFonts w:ascii="Arial" w:eastAsia="Times New Roman" w:hAnsi="Arial" w:cs="Arial"/>
          <w:color w:val="000000" w:themeColor="text1"/>
          <w:lang w:eastAsia="es-MX"/>
        </w:rPr>
        <w:t>Públicas,  Servicios  y  Vivienda  cumple  un  papel  importante  en  el  d</w:t>
      </w:r>
      <w:r>
        <w:rPr>
          <w:rFonts w:ascii="Arial" w:eastAsia="Times New Roman" w:hAnsi="Arial" w:cs="Arial"/>
          <w:color w:val="000000" w:themeColor="text1"/>
          <w:lang w:eastAsia="es-MX"/>
        </w:rPr>
        <w:t xml:space="preserve">esarrollo  del  sector  de  la </w:t>
      </w:r>
      <w:r w:rsidRPr="002B3362">
        <w:rPr>
          <w:rFonts w:ascii="Arial" w:eastAsia="Times New Roman" w:hAnsi="Arial" w:cs="Arial"/>
          <w:color w:val="000000" w:themeColor="text1"/>
          <w:lang w:eastAsia="es-MX"/>
        </w:rPr>
        <w:t xml:space="preserve">construcción ya que concentra a los sectores de transportes, telecomunicaciones y Vivienda.  </w:t>
      </w:r>
    </w:p>
    <w:p w:rsidR="002B3362" w:rsidRPr="002B3362" w:rsidRDefault="002B3362" w:rsidP="002B3362">
      <w:pPr>
        <w:spacing w:line="360" w:lineRule="auto"/>
        <w:jc w:val="both"/>
        <w:rPr>
          <w:rFonts w:ascii="Arial" w:eastAsia="Times New Roman" w:hAnsi="Arial" w:cs="Arial"/>
          <w:color w:val="000000" w:themeColor="text1"/>
          <w:lang w:eastAsia="es-MX"/>
        </w:rPr>
      </w:pPr>
      <w:r w:rsidRPr="002B3362">
        <w:rPr>
          <w:rFonts w:ascii="Arial" w:eastAsia="Times New Roman" w:hAnsi="Arial" w:cs="Arial"/>
          <w:color w:val="000000" w:themeColor="text1"/>
          <w:lang w:eastAsia="es-MX"/>
        </w:rPr>
        <w:t xml:space="preserve">Algunas de las atribuciones principales de este Ministerio son: </w:t>
      </w:r>
    </w:p>
    <w:p w:rsidR="002B3362" w:rsidRPr="002B3362" w:rsidRDefault="002B3362" w:rsidP="002B3362">
      <w:pPr>
        <w:spacing w:line="360" w:lineRule="auto"/>
        <w:jc w:val="both"/>
        <w:rPr>
          <w:rFonts w:ascii="Arial" w:eastAsia="Times New Roman" w:hAnsi="Arial" w:cs="Arial"/>
          <w:color w:val="000000" w:themeColor="text1"/>
          <w:lang w:eastAsia="es-MX"/>
        </w:rPr>
      </w:pPr>
      <w:r>
        <w:rPr>
          <w:rFonts w:ascii="Arial" w:eastAsia="Times New Roman" w:hAnsi="Arial" w:cs="Arial"/>
          <w:color w:val="000000" w:themeColor="text1"/>
          <w:lang w:eastAsia="es-MX"/>
        </w:rPr>
        <w:t xml:space="preserve"> </w:t>
      </w:r>
      <w:r w:rsidRPr="002B3362">
        <w:rPr>
          <w:rFonts w:ascii="Arial" w:eastAsia="Times New Roman" w:hAnsi="Arial" w:cs="Arial"/>
          <w:color w:val="000000" w:themeColor="text1"/>
          <w:lang w:eastAsia="es-MX"/>
        </w:rPr>
        <w:t>  Formular,  promover,  coordinar  y  ejecutar  políticas  y  norm</w:t>
      </w:r>
      <w:r>
        <w:rPr>
          <w:rFonts w:ascii="Arial" w:eastAsia="Times New Roman" w:hAnsi="Arial" w:cs="Arial"/>
          <w:color w:val="000000" w:themeColor="text1"/>
          <w:lang w:eastAsia="es-MX"/>
        </w:rPr>
        <w:t xml:space="preserve">as  de  transporte  terrestre, </w:t>
      </w:r>
      <w:r w:rsidRPr="002B3362">
        <w:rPr>
          <w:rFonts w:ascii="Arial" w:eastAsia="Times New Roman" w:hAnsi="Arial" w:cs="Arial"/>
          <w:color w:val="000000" w:themeColor="text1"/>
          <w:lang w:eastAsia="es-MX"/>
        </w:rPr>
        <w:t xml:space="preserve">aéreo, marítimo, fluvial, lacustre, ferroviario y otros. </w:t>
      </w:r>
    </w:p>
    <w:p w:rsidR="002B3362" w:rsidRPr="002B3362" w:rsidRDefault="002B3362" w:rsidP="002B3362">
      <w:pPr>
        <w:spacing w:line="360" w:lineRule="auto"/>
        <w:jc w:val="both"/>
        <w:rPr>
          <w:rFonts w:ascii="Arial" w:eastAsia="Times New Roman" w:hAnsi="Arial" w:cs="Arial"/>
          <w:color w:val="000000" w:themeColor="text1"/>
          <w:lang w:eastAsia="es-MX"/>
        </w:rPr>
      </w:pPr>
      <w:r w:rsidRPr="002B3362">
        <w:rPr>
          <w:rFonts w:ascii="Arial" w:eastAsia="Times New Roman" w:hAnsi="Arial" w:cs="Arial"/>
          <w:color w:val="000000" w:themeColor="text1"/>
          <w:lang w:eastAsia="es-MX"/>
        </w:rPr>
        <w:t>  Formular, promover y ejecutar políticas y normas de tele</w:t>
      </w:r>
      <w:r>
        <w:rPr>
          <w:rFonts w:ascii="Arial" w:eastAsia="Times New Roman" w:hAnsi="Arial" w:cs="Arial"/>
          <w:color w:val="000000" w:themeColor="text1"/>
          <w:lang w:eastAsia="es-MX"/>
        </w:rPr>
        <w:t xml:space="preserve">comunicaciones, tecnologías de </w:t>
      </w:r>
      <w:r w:rsidRPr="002B3362">
        <w:rPr>
          <w:rFonts w:ascii="Arial" w:eastAsia="Times New Roman" w:hAnsi="Arial" w:cs="Arial"/>
          <w:color w:val="000000" w:themeColor="text1"/>
          <w:lang w:eastAsia="es-MX"/>
        </w:rPr>
        <w:t xml:space="preserve">información. </w:t>
      </w:r>
    </w:p>
    <w:p w:rsidR="002B3362" w:rsidRPr="002B3362" w:rsidRDefault="002B3362" w:rsidP="002B3362">
      <w:pPr>
        <w:spacing w:line="360" w:lineRule="auto"/>
        <w:jc w:val="both"/>
        <w:rPr>
          <w:rFonts w:ascii="Arial" w:eastAsia="Times New Roman" w:hAnsi="Arial" w:cs="Arial"/>
          <w:color w:val="000000" w:themeColor="text1"/>
          <w:lang w:eastAsia="es-MX"/>
        </w:rPr>
      </w:pPr>
      <w:r w:rsidRPr="002B3362">
        <w:rPr>
          <w:rFonts w:ascii="Arial" w:eastAsia="Times New Roman" w:hAnsi="Arial" w:cs="Arial"/>
          <w:color w:val="000000" w:themeColor="text1"/>
          <w:lang w:eastAsia="es-MX"/>
        </w:rPr>
        <w:t xml:space="preserve">  Definir y ejecutar planes, programas y proyectos de infraestructura, vivienda, obras civiles </w:t>
      </w:r>
    </w:p>
    <w:p w:rsidR="002B3362" w:rsidRPr="002B3362" w:rsidRDefault="002B3362" w:rsidP="002B3362">
      <w:pPr>
        <w:spacing w:line="360" w:lineRule="auto"/>
        <w:jc w:val="both"/>
        <w:rPr>
          <w:rFonts w:ascii="Arial" w:eastAsia="Times New Roman" w:hAnsi="Arial" w:cs="Arial"/>
          <w:color w:val="000000" w:themeColor="text1"/>
          <w:lang w:eastAsia="es-MX"/>
        </w:rPr>
      </w:pPr>
      <w:r w:rsidRPr="002B3362">
        <w:rPr>
          <w:rFonts w:ascii="Arial" w:eastAsia="Times New Roman" w:hAnsi="Arial" w:cs="Arial"/>
          <w:color w:val="000000" w:themeColor="text1"/>
          <w:lang w:eastAsia="es-MX"/>
        </w:rPr>
        <w:t>y servicios públicos de interés del nivel central del E</w:t>
      </w:r>
      <w:r>
        <w:rPr>
          <w:rFonts w:ascii="Arial" w:eastAsia="Times New Roman" w:hAnsi="Arial" w:cs="Arial"/>
          <w:color w:val="000000" w:themeColor="text1"/>
          <w:lang w:eastAsia="es-MX"/>
        </w:rPr>
        <w:t xml:space="preserve">stado. </w:t>
      </w:r>
    </w:p>
    <w:p w:rsidR="002B3362" w:rsidRPr="002B3362" w:rsidRDefault="002B3362" w:rsidP="002B3362">
      <w:pPr>
        <w:spacing w:line="360" w:lineRule="auto"/>
        <w:jc w:val="both"/>
        <w:rPr>
          <w:rFonts w:ascii="Arial" w:eastAsia="Times New Roman" w:hAnsi="Arial" w:cs="Arial"/>
          <w:color w:val="000000" w:themeColor="text1"/>
          <w:lang w:eastAsia="es-MX"/>
        </w:rPr>
      </w:pPr>
      <w:r w:rsidRPr="002B3362">
        <w:rPr>
          <w:rFonts w:ascii="Arial" w:eastAsia="Times New Roman" w:hAnsi="Arial" w:cs="Arial"/>
          <w:color w:val="000000" w:themeColor="text1"/>
          <w:lang w:eastAsia="es-MX"/>
        </w:rPr>
        <w:t>Las  competencias  están  asignadas  según  la  Constitución  Política</w:t>
      </w:r>
      <w:r>
        <w:rPr>
          <w:rFonts w:ascii="Arial" w:eastAsia="Times New Roman" w:hAnsi="Arial" w:cs="Arial"/>
          <w:color w:val="000000" w:themeColor="text1"/>
          <w:lang w:eastAsia="es-MX"/>
        </w:rPr>
        <w:t xml:space="preserve">  del  Estado  que  establece </w:t>
      </w:r>
      <w:r w:rsidRPr="002B3362">
        <w:rPr>
          <w:rFonts w:ascii="Arial" w:eastAsia="Times New Roman" w:hAnsi="Arial" w:cs="Arial"/>
          <w:color w:val="000000" w:themeColor="text1"/>
          <w:lang w:eastAsia="es-MX"/>
        </w:rPr>
        <w:t>competencias  privativas,  exclusivas,  concurrentes  y  compartidas</w:t>
      </w:r>
      <w:r>
        <w:rPr>
          <w:rFonts w:ascii="Arial" w:eastAsia="Times New Roman" w:hAnsi="Arial" w:cs="Arial"/>
          <w:color w:val="000000" w:themeColor="text1"/>
          <w:lang w:eastAsia="es-MX"/>
        </w:rPr>
        <w:t xml:space="preserve">  en  los  diferentes  niveles </w:t>
      </w:r>
      <w:r w:rsidRPr="002B3362">
        <w:rPr>
          <w:rFonts w:ascii="Arial" w:eastAsia="Times New Roman" w:hAnsi="Arial" w:cs="Arial"/>
          <w:color w:val="000000" w:themeColor="text1"/>
          <w:lang w:eastAsia="es-MX"/>
        </w:rPr>
        <w:t>territoriales, normas sectoriales y específicas.</w:t>
      </w:r>
    </w:p>
    <w:p w:rsidR="005A2C45" w:rsidRPr="005A2C45" w:rsidRDefault="005A2C45" w:rsidP="00E12623">
      <w:pPr>
        <w:autoSpaceDE w:val="0"/>
        <w:autoSpaceDN w:val="0"/>
        <w:adjustRightInd w:val="0"/>
        <w:spacing w:after="0" w:line="360" w:lineRule="auto"/>
        <w:jc w:val="both"/>
        <w:rPr>
          <w:rFonts w:ascii="Arial" w:hAnsi="Arial" w:cs="Arial"/>
        </w:rPr>
      </w:pPr>
      <w:r w:rsidRPr="005A2C45">
        <w:rPr>
          <w:rFonts w:ascii="Arial" w:hAnsi="Arial" w:cs="Arial"/>
        </w:rPr>
        <w:t>Asimismo, el Plan Nacional de Desarrollo aprobado mediante</w:t>
      </w:r>
      <w:r>
        <w:rPr>
          <w:rFonts w:ascii="Arial" w:hAnsi="Arial" w:cs="Arial"/>
        </w:rPr>
        <w:t xml:space="preserve"> Decreto Supremo 29272 de 12 de </w:t>
      </w:r>
      <w:r w:rsidRPr="005A2C45">
        <w:rPr>
          <w:rFonts w:ascii="Arial" w:hAnsi="Arial" w:cs="Arial"/>
        </w:rPr>
        <w:t xml:space="preserve">septiembre de 2007, asigna un importante papel a la ejecución </w:t>
      </w:r>
      <w:r>
        <w:rPr>
          <w:rFonts w:ascii="Arial" w:hAnsi="Arial" w:cs="Arial"/>
        </w:rPr>
        <w:t xml:space="preserve">de importantes proyectos en los </w:t>
      </w:r>
      <w:r w:rsidRPr="005A2C45">
        <w:rPr>
          <w:rFonts w:ascii="Arial" w:hAnsi="Arial" w:cs="Arial"/>
        </w:rPr>
        <w:t>sectores generadores de activos sociales, estratégicos y de infraestructura a la producción.</w:t>
      </w:r>
    </w:p>
    <w:p w:rsidR="005A2C45" w:rsidRPr="005A2C45" w:rsidRDefault="005A2C45" w:rsidP="00E12623">
      <w:pPr>
        <w:autoSpaceDE w:val="0"/>
        <w:autoSpaceDN w:val="0"/>
        <w:adjustRightInd w:val="0"/>
        <w:spacing w:after="0" w:line="360" w:lineRule="auto"/>
        <w:jc w:val="both"/>
        <w:rPr>
          <w:rFonts w:ascii="Arial" w:hAnsi="Arial" w:cs="Arial"/>
        </w:rPr>
      </w:pPr>
      <w:r w:rsidRPr="005A2C45">
        <w:rPr>
          <w:rFonts w:ascii="Arial" w:hAnsi="Arial" w:cs="Arial"/>
        </w:rPr>
        <w:lastRenderedPageBreak/>
        <w:t>En este sentido, el Plan Nacional de Desarrollo, otorga un pape</w:t>
      </w:r>
      <w:r>
        <w:rPr>
          <w:rFonts w:ascii="Arial" w:hAnsi="Arial" w:cs="Arial"/>
        </w:rPr>
        <w:t xml:space="preserve">l muy importante al acceso a la </w:t>
      </w:r>
      <w:r w:rsidRPr="005A2C45">
        <w:rPr>
          <w:rFonts w:ascii="Arial" w:hAnsi="Arial" w:cs="Arial"/>
        </w:rPr>
        <w:t>vivienda, a través de la recuperación del rol del Estado en</w:t>
      </w:r>
      <w:r>
        <w:rPr>
          <w:rFonts w:ascii="Arial" w:hAnsi="Arial" w:cs="Arial"/>
        </w:rPr>
        <w:t xml:space="preserve"> la generación de instrumentos, </w:t>
      </w:r>
      <w:r w:rsidRPr="005A2C45">
        <w:rPr>
          <w:rFonts w:ascii="Arial" w:hAnsi="Arial" w:cs="Arial"/>
        </w:rPr>
        <w:t>mecanismos y normas para facilitar el acceso a la vivienda</w:t>
      </w:r>
      <w:r>
        <w:rPr>
          <w:rFonts w:ascii="Arial" w:hAnsi="Arial" w:cs="Arial"/>
        </w:rPr>
        <w:t xml:space="preserve">; así como fuertes políticas de </w:t>
      </w:r>
      <w:r w:rsidRPr="005A2C45">
        <w:rPr>
          <w:rFonts w:ascii="Arial" w:hAnsi="Arial" w:cs="Arial"/>
        </w:rPr>
        <w:t>vertebración interna e integración externa en materia de transportes, lo que imp</w:t>
      </w:r>
      <w:r>
        <w:rPr>
          <w:rFonts w:ascii="Arial" w:hAnsi="Arial" w:cs="Arial"/>
        </w:rPr>
        <w:t xml:space="preserve">lica la </w:t>
      </w:r>
      <w:r w:rsidRPr="005A2C45">
        <w:rPr>
          <w:rFonts w:ascii="Arial" w:hAnsi="Arial" w:cs="Arial"/>
        </w:rPr>
        <w:t>construcción, mantenimiento y rehabilitación de carreteras, ferroví</w:t>
      </w:r>
      <w:r>
        <w:rPr>
          <w:rFonts w:ascii="Arial" w:hAnsi="Arial" w:cs="Arial"/>
        </w:rPr>
        <w:t xml:space="preserve">as, aeropuertos e hidrovías que </w:t>
      </w:r>
      <w:r w:rsidRPr="005A2C45">
        <w:rPr>
          <w:rFonts w:ascii="Arial" w:hAnsi="Arial" w:cs="Arial"/>
        </w:rPr>
        <w:t>permitan al país alcanzar niveles adecuados de integración</w:t>
      </w:r>
      <w:r>
        <w:rPr>
          <w:rFonts w:ascii="Arial" w:hAnsi="Arial" w:cs="Arial"/>
        </w:rPr>
        <w:t xml:space="preserve"> interna y acceso estratégico a </w:t>
      </w:r>
      <w:r w:rsidRPr="005A2C45">
        <w:rPr>
          <w:rFonts w:ascii="Arial" w:hAnsi="Arial" w:cs="Arial"/>
        </w:rPr>
        <w:t>mercados externos.</w:t>
      </w:r>
    </w:p>
    <w:p w:rsidR="005A2C45" w:rsidRPr="005A2C45" w:rsidRDefault="005A2C45" w:rsidP="00E12623">
      <w:pPr>
        <w:autoSpaceDE w:val="0"/>
        <w:autoSpaceDN w:val="0"/>
        <w:adjustRightInd w:val="0"/>
        <w:spacing w:after="0" w:line="360" w:lineRule="auto"/>
        <w:jc w:val="both"/>
        <w:rPr>
          <w:rFonts w:ascii="Arial" w:hAnsi="Arial" w:cs="Arial"/>
        </w:rPr>
      </w:pPr>
      <w:r w:rsidRPr="005A2C45">
        <w:rPr>
          <w:rFonts w:ascii="Arial" w:hAnsi="Arial" w:cs="Arial"/>
          <w:b/>
          <w:bCs/>
        </w:rPr>
        <w:t xml:space="preserve">Constitución Política del Estado, </w:t>
      </w:r>
      <w:r w:rsidRPr="005A2C45">
        <w:rPr>
          <w:rFonts w:ascii="Arial" w:hAnsi="Arial" w:cs="Arial"/>
        </w:rPr>
        <w:t>que establece que toda per</w:t>
      </w:r>
      <w:r>
        <w:rPr>
          <w:rFonts w:ascii="Arial" w:hAnsi="Arial" w:cs="Arial"/>
        </w:rPr>
        <w:t xml:space="preserve">sona tiene el derecho al acceso </w:t>
      </w:r>
      <w:r w:rsidRPr="005A2C45">
        <w:rPr>
          <w:rFonts w:ascii="Arial" w:hAnsi="Arial" w:cs="Arial"/>
        </w:rPr>
        <w:t>universal y equitativo a los servicios básicos de agua potable, al</w:t>
      </w:r>
      <w:r>
        <w:rPr>
          <w:rFonts w:ascii="Arial" w:hAnsi="Arial" w:cs="Arial"/>
        </w:rPr>
        <w:t xml:space="preserve">cantarillado, electricidad, gas </w:t>
      </w:r>
      <w:r w:rsidRPr="005A2C45">
        <w:rPr>
          <w:rFonts w:ascii="Arial" w:hAnsi="Arial" w:cs="Arial"/>
        </w:rPr>
        <w:t>domiciliario, postal y telecomunicaciones y a un hábitat y vivienda adecuada.</w:t>
      </w:r>
    </w:p>
    <w:p w:rsidR="005A2C45" w:rsidRPr="005A2C45" w:rsidRDefault="005A2C45" w:rsidP="00E12623">
      <w:pPr>
        <w:autoSpaceDE w:val="0"/>
        <w:autoSpaceDN w:val="0"/>
        <w:adjustRightInd w:val="0"/>
        <w:spacing w:after="0" w:line="360" w:lineRule="auto"/>
        <w:jc w:val="both"/>
        <w:rPr>
          <w:rFonts w:ascii="Arial" w:hAnsi="Arial" w:cs="Arial"/>
        </w:rPr>
      </w:pPr>
      <w:r w:rsidRPr="005A2C45">
        <w:rPr>
          <w:rFonts w:ascii="Arial" w:hAnsi="Arial" w:cs="Arial"/>
        </w:rPr>
        <w:t>Asimismo, que reconoce, respeta y protege la iniciativa privada pa</w:t>
      </w:r>
      <w:r>
        <w:rPr>
          <w:rFonts w:ascii="Arial" w:hAnsi="Arial" w:cs="Arial"/>
        </w:rPr>
        <w:t xml:space="preserve">ra que contribuya al desarrollo </w:t>
      </w:r>
      <w:r w:rsidRPr="005A2C45">
        <w:rPr>
          <w:rFonts w:ascii="Arial" w:hAnsi="Arial" w:cs="Arial"/>
        </w:rPr>
        <w:t>económico, social y fortalezca la independencia económica del país.</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b/>
          <w:bCs/>
        </w:rPr>
        <w:t>Ley de Participación Popular (Ley Nº 1551 de 20/04/1994)</w:t>
      </w:r>
      <w:r w:rsidRPr="000D6A37">
        <w:rPr>
          <w:rFonts w:ascii="Arial" w:hAnsi="Arial" w:cs="Arial"/>
        </w:rPr>
        <w:t>, que amplía competencias e incrementa recursos a favor de los Gobiernos Municipales y transfiere la infraestructura física de educación, salud, caminos vecinales, micro riego con la obligación de administrarla, mantenerla y renovarla.</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b/>
          <w:bCs/>
        </w:rPr>
        <w:t>Ley de Descentralización Administrativa (No. 1654 de 28/07/1995)</w:t>
      </w:r>
      <w:r w:rsidRPr="000D6A37">
        <w:rPr>
          <w:rFonts w:ascii="Arial" w:hAnsi="Arial" w:cs="Arial"/>
        </w:rPr>
        <w:t>, que establece como atribución del nivel departamental, formular y ejecutar programas y proyectos de inversión pública en las áreas de: construcción y mantenimiento de carreteras, caminos secundarios, electrificación rural, infraestructura de riego y apoyo a la producción y otros.</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b/>
          <w:bCs/>
        </w:rPr>
        <w:t xml:space="preserve">Ley de Concesiones de Obras Públicas de Transporte (Ley Nº 1874 de 22 de junio de 1998), </w:t>
      </w:r>
      <w:r w:rsidRPr="000D6A37">
        <w:rPr>
          <w:rFonts w:ascii="Arial" w:hAnsi="Arial" w:cs="Arial"/>
        </w:rPr>
        <w:t>el objetivo de esta ley es normar y regular el régimen legal de las concesiones de obras públicas de transporte para licitar, otorgar, contratar, desarrollar y modificar dichas concesiones por la</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rPr>
        <w:t>Administración Nacional, las prefecturas y las municipalidades.</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b/>
          <w:bCs/>
        </w:rPr>
        <w:t xml:space="preserve">Ley de Municipalidades (Ley Nº 2028 de 28 de octubre de 1999), </w:t>
      </w:r>
      <w:r w:rsidRPr="000D6A37">
        <w:rPr>
          <w:rFonts w:ascii="Arial" w:hAnsi="Arial" w:cs="Arial"/>
        </w:rPr>
        <w:t>que establece como competencias de los Gobiernos Municipales construir, equipar y mantener l</w:t>
      </w:r>
      <w:r w:rsidR="000D6A37" w:rsidRPr="000D6A37">
        <w:rPr>
          <w:rFonts w:ascii="Arial" w:hAnsi="Arial" w:cs="Arial"/>
        </w:rPr>
        <w:t xml:space="preserve">a infraestructura en </w:t>
      </w:r>
      <w:r w:rsidRPr="000D6A37">
        <w:rPr>
          <w:rFonts w:ascii="Arial" w:hAnsi="Arial" w:cs="Arial"/>
        </w:rPr>
        <w:t>los sectores de educación, salud, cultura, deportes, micro riego, s</w:t>
      </w:r>
      <w:r w:rsidR="000D6A37" w:rsidRPr="000D6A37">
        <w:rPr>
          <w:rFonts w:ascii="Arial" w:hAnsi="Arial" w:cs="Arial"/>
        </w:rPr>
        <w:t xml:space="preserve">aneamiento básico, vías urbanas </w:t>
      </w:r>
      <w:r w:rsidRPr="000D6A37">
        <w:rPr>
          <w:rFonts w:ascii="Arial" w:hAnsi="Arial" w:cs="Arial"/>
        </w:rPr>
        <w:t>y caminos vecinales.</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b/>
          <w:bCs/>
        </w:rPr>
      </w:pPr>
      <w:r w:rsidRPr="000D6A37">
        <w:rPr>
          <w:rFonts w:ascii="Arial" w:hAnsi="Arial" w:cs="Arial"/>
          <w:b/>
          <w:bCs/>
        </w:rPr>
        <w:t>Ley de Creación de la Administradora Boliviana de Carreteras (Ley Nº 3507 de 27 de octubre de</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b/>
          <w:bCs/>
        </w:rPr>
        <w:lastRenderedPageBreak/>
        <w:t xml:space="preserve">2006), </w:t>
      </w:r>
      <w:r w:rsidRPr="000D6A37">
        <w:rPr>
          <w:rFonts w:ascii="Arial" w:hAnsi="Arial" w:cs="Arial"/>
        </w:rPr>
        <w:t xml:space="preserve">crea la Administradora Boliviana de Carreteras, como una </w:t>
      </w:r>
      <w:r w:rsidR="000D6A37" w:rsidRPr="000D6A37">
        <w:rPr>
          <w:rFonts w:ascii="Arial" w:hAnsi="Arial" w:cs="Arial"/>
        </w:rPr>
        <w:t xml:space="preserve">entidad autárquica, dependiente </w:t>
      </w:r>
      <w:r w:rsidRPr="000D6A37">
        <w:rPr>
          <w:rFonts w:ascii="Arial" w:hAnsi="Arial" w:cs="Arial"/>
        </w:rPr>
        <w:t>del Ministerio de Obras Públicas, Servicios y Vivienda.</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b/>
          <w:bCs/>
        </w:rPr>
      </w:pPr>
      <w:r w:rsidRPr="000D6A37">
        <w:rPr>
          <w:rFonts w:ascii="Arial" w:hAnsi="Arial" w:cs="Arial"/>
          <w:b/>
          <w:bCs/>
        </w:rPr>
        <w:t>Normas Básica del Sistema de Administración de Bienes y Servicios (Decreto Supremo Nº 181 de</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b/>
          <w:bCs/>
        </w:rPr>
        <w:t xml:space="preserve">17 de julio de 2009), </w:t>
      </w:r>
      <w:r w:rsidRPr="000D6A37">
        <w:rPr>
          <w:rFonts w:ascii="Arial" w:hAnsi="Arial" w:cs="Arial"/>
        </w:rPr>
        <w:t>que establece los principios, normas y condi</w:t>
      </w:r>
      <w:r w:rsidR="000D6A37" w:rsidRPr="000D6A37">
        <w:rPr>
          <w:rFonts w:ascii="Arial" w:hAnsi="Arial" w:cs="Arial"/>
        </w:rPr>
        <w:t xml:space="preserve">ciones que regulan los procesos </w:t>
      </w:r>
      <w:r w:rsidRPr="000D6A37">
        <w:rPr>
          <w:rFonts w:ascii="Arial" w:hAnsi="Arial" w:cs="Arial"/>
        </w:rPr>
        <w:t>de administración de bienes y servicios.</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b/>
          <w:bCs/>
        </w:rPr>
        <w:t xml:space="preserve">Programa de Vivienda Social (Decreto Supremo Nº 28794 de 12 de julio de 2007), </w:t>
      </w:r>
      <w:r w:rsidRPr="000D6A37">
        <w:rPr>
          <w:rFonts w:ascii="Arial" w:hAnsi="Arial" w:cs="Arial"/>
        </w:rPr>
        <w:t>que aprueba el</w:t>
      </w:r>
    </w:p>
    <w:p w:rsidR="005A2C45" w:rsidRPr="000D6A37"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rPr>
        <w:t xml:space="preserve">Programa de Vivienda Social destinado donde se establece </w:t>
      </w:r>
      <w:r w:rsidR="000D6A37" w:rsidRPr="000D6A37">
        <w:rPr>
          <w:rFonts w:ascii="Arial" w:hAnsi="Arial" w:cs="Arial"/>
        </w:rPr>
        <w:t xml:space="preserve">los elementos centrales para la </w:t>
      </w:r>
      <w:r w:rsidRPr="000D6A37">
        <w:rPr>
          <w:rFonts w:ascii="Arial" w:hAnsi="Arial" w:cs="Arial"/>
        </w:rPr>
        <w:t>ejecución de soluciones habitacionales en el país.</w:t>
      </w:r>
    </w:p>
    <w:p w:rsidR="005A2C45" w:rsidRDefault="005A2C45" w:rsidP="00E12623">
      <w:pPr>
        <w:pStyle w:val="Prrafodelista"/>
        <w:numPr>
          <w:ilvl w:val="0"/>
          <w:numId w:val="10"/>
        </w:numPr>
        <w:autoSpaceDE w:val="0"/>
        <w:autoSpaceDN w:val="0"/>
        <w:adjustRightInd w:val="0"/>
        <w:spacing w:after="0" w:line="360" w:lineRule="auto"/>
        <w:jc w:val="both"/>
        <w:rPr>
          <w:rFonts w:ascii="Arial" w:hAnsi="Arial" w:cs="Arial"/>
        </w:rPr>
      </w:pPr>
      <w:r w:rsidRPr="000D6A37">
        <w:rPr>
          <w:rFonts w:ascii="Arial" w:hAnsi="Arial" w:cs="Arial"/>
          <w:b/>
          <w:bCs/>
        </w:rPr>
        <w:t xml:space="preserve">Plan Nacional de Desarrollo (D.S. 29272 de 12/9/2007), </w:t>
      </w:r>
      <w:r w:rsidRPr="000D6A37">
        <w:rPr>
          <w:rFonts w:ascii="Arial" w:hAnsi="Arial" w:cs="Arial"/>
        </w:rPr>
        <w:t>que aprueba el Plan Nacional de</w:t>
      </w:r>
      <w:r w:rsidR="000D6A37">
        <w:rPr>
          <w:rFonts w:ascii="Arial" w:hAnsi="Arial" w:cs="Arial"/>
        </w:rPr>
        <w:t xml:space="preserve"> </w:t>
      </w:r>
      <w:r w:rsidRPr="000D6A37">
        <w:rPr>
          <w:rFonts w:ascii="Arial" w:hAnsi="Arial" w:cs="Arial"/>
        </w:rPr>
        <w:t>Desarrollo, Bolivia Digna, Soberana, Productiva y Democrática para Vivir Bien donde se establece</w:t>
      </w:r>
      <w:r w:rsidR="000D6A37" w:rsidRPr="000D6A37">
        <w:rPr>
          <w:rFonts w:ascii="Arial" w:hAnsi="Arial" w:cs="Arial"/>
        </w:rPr>
        <w:t xml:space="preserve"> </w:t>
      </w:r>
      <w:r w:rsidRPr="000D6A37">
        <w:rPr>
          <w:rFonts w:ascii="Arial" w:hAnsi="Arial" w:cs="Arial"/>
        </w:rPr>
        <w:t>lineamientos para la ejecución de proyectos de infraestructura e</w:t>
      </w:r>
      <w:r w:rsidR="000D6A37" w:rsidRPr="000D6A37">
        <w:rPr>
          <w:rFonts w:ascii="Arial" w:hAnsi="Arial" w:cs="Arial"/>
        </w:rPr>
        <w:t xml:space="preserve">n los diferentes sectores de la </w:t>
      </w:r>
      <w:r w:rsidRPr="000D6A37">
        <w:rPr>
          <w:rFonts w:ascii="Arial" w:hAnsi="Arial" w:cs="Arial"/>
        </w:rPr>
        <w:t>economía.</w:t>
      </w:r>
    </w:p>
    <w:p w:rsidR="000D6A37" w:rsidRPr="000D6A37" w:rsidRDefault="000D6A37" w:rsidP="000D6A37">
      <w:pPr>
        <w:autoSpaceDE w:val="0"/>
        <w:autoSpaceDN w:val="0"/>
        <w:adjustRightInd w:val="0"/>
        <w:spacing w:after="0" w:line="240" w:lineRule="auto"/>
        <w:ind w:left="360"/>
        <w:jc w:val="both"/>
        <w:rPr>
          <w:rFonts w:ascii="Arial" w:hAnsi="Arial" w:cs="Arial"/>
        </w:rPr>
      </w:pPr>
    </w:p>
    <w:p w:rsidR="005A2C45" w:rsidRPr="005A2C45" w:rsidRDefault="005A2C45" w:rsidP="005A2C45">
      <w:pPr>
        <w:spacing w:line="360" w:lineRule="auto"/>
        <w:jc w:val="both"/>
        <w:rPr>
          <w:rFonts w:ascii="Arial" w:eastAsia="Times New Roman" w:hAnsi="Arial" w:cs="Arial"/>
          <w:b/>
          <w:color w:val="FF0000"/>
          <w:u w:val="single"/>
          <w:lang w:eastAsia="es-MX"/>
        </w:rPr>
      </w:pPr>
    </w:p>
    <w:p w:rsidR="000D6A37" w:rsidRDefault="000D6A37" w:rsidP="005A2C45">
      <w:pPr>
        <w:spacing w:line="360" w:lineRule="auto"/>
        <w:jc w:val="both"/>
        <w:rPr>
          <w:rFonts w:ascii="Arial" w:eastAsia="Times New Roman" w:hAnsi="Arial" w:cs="Arial"/>
          <w:b/>
          <w:color w:val="FF0000"/>
          <w:u w:val="single"/>
          <w:lang w:eastAsia="es-MX"/>
        </w:rPr>
      </w:pPr>
    </w:p>
    <w:p w:rsidR="000D6A37" w:rsidRDefault="000D6A37" w:rsidP="005A2C45">
      <w:pPr>
        <w:spacing w:line="360" w:lineRule="auto"/>
        <w:jc w:val="both"/>
        <w:rPr>
          <w:rFonts w:ascii="Arial" w:eastAsia="Times New Roman" w:hAnsi="Arial" w:cs="Arial"/>
          <w:b/>
          <w:color w:val="FF0000"/>
          <w:u w:val="single"/>
          <w:lang w:eastAsia="es-MX"/>
        </w:rPr>
      </w:pPr>
    </w:p>
    <w:p w:rsidR="000D6A37" w:rsidRDefault="000D6A37" w:rsidP="005A2C45">
      <w:pPr>
        <w:spacing w:line="360" w:lineRule="auto"/>
        <w:jc w:val="both"/>
        <w:rPr>
          <w:rFonts w:ascii="Arial" w:eastAsia="Times New Roman" w:hAnsi="Arial" w:cs="Arial"/>
          <w:b/>
          <w:color w:val="FF0000"/>
          <w:u w:val="single"/>
          <w:lang w:eastAsia="es-MX"/>
        </w:rPr>
      </w:pPr>
    </w:p>
    <w:p w:rsidR="000D6A37" w:rsidRDefault="000D6A37" w:rsidP="005A2C45">
      <w:pPr>
        <w:spacing w:line="360" w:lineRule="auto"/>
        <w:jc w:val="both"/>
        <w:rPr>
          <w:rFonts w:ascii="Arial" w:eastAsia="Times New Roman" w:hAnsi="Arial" w:cs="Arial"/>
          <w:b/>
          <w:color w:val="FF0000"/>
          <w:u w:val="single"/>
          <w:lang w:eastAsia="es-MX"/>
        </w:rPr>
      </w:pPr>
    </w:p>
    <w:p w:rsidR="000D6A37" w:rsidRDefault="000D6A37" w:rsidP="005A2C45">
      <w:pPr>
        <w:spacing w:line="360" w:lineRule="auto"/>
        <w:jc w:val="both"/>
        <w:rPr>
          <w:rFonts w:ascii="Arial" w:eastAsia="Times New Roman" w:hAnsi="Arial" w:cs="Arial"/>
          <w:b/>
          <w:color w:val="FF0000"/>
          <w:u w:val="single"/>
          <w:lang w:eastAsia="es-MX"/>
        </w:rPr>
      </w:pPr>
    </w:p>
    <w:p w:rsidR="000D6A37" w:rsidRDefault="000D6A37" w:rsidP="005A2C45">
      <w:pPr>
        <w:spacing w:line="360" w:lineRule="auto"/>
        <w:jc w:val="both"/>
        <w:rPr>
          <w:rFonts w:ascii="Arial" w:eastAsia="Times New Roman" w:hAnsi="Arial" w:cs="Arial"/>
          <w:b/>
          <w:color w:val="FF0000"/>
          <w:u w:val="single"/>
          <w:lang w:eastAsia="es-MX"/>
        </w:rPr>
      </w:pPr>
    </w:p>
    <w:p w:rsidR="000D6A37" w:rsidRDefault="000D6A37" w:rsidP="005A2C45">
      <w:pPr>
        <w:spacing w:line="360" w:lineRule="auto"/>
        <w:jc w:val="both"/>
        <w:rPr>
          <w:rFonts w:ascii="Arial" w:eastAsia="Times New Roman" w:hAnsi="Arial" w:cs="Arial"/>
          <w:b/>
          <w:color w:val="FF0000"/>
          <w:u w:val="single"/>
          <w:lang w:eastAsia="es-MX"/>
        </w:rPr>
      </w:pPr>
    </w:p>
    <w:p w:rsidR="000D6A37" w:rsidRDefault="000D6A37" w:rsidP="005A2C45">
      <w:pPr>
        <w:spacing w:line="360" w:lineRule="auto"/>
        <w:jc w:val="both"/>
        <w:rPr>
          <w:rFonts w:ascii="Arial" w:eastAsia="Times New Roman" w:hAnsi="Arial" w:cs="Arial"/>
          <w:b/>
          <w:color w:val="FF0000"/>
          <w:u w:val="single"/>
          <w:lang w:eastAsia="es-MX"/>
        </w:rPr>
      </w:pPr>
    </w:p>
    <w:p w:rsidR="00370110" w:rsidRDefault="00370110" w:rsidP="005A2C45">
      <w:pPr>
        <w:spacing w:line="360" w:lineRule="auto"/>
        <w:jc w:val="both"/>
        <w:rPr>
          <w:rFonts w:ascii="Arial" w:eastAsia="Times New Roman" w:hAnsi="Arial" w:cs="Arial"/>
          <w:b/>
          <w:color w:val="FF0000"/>
          <w:u w:val="single"/>
          <w:lang w:eastAsia="es-MX"/>
        </w:rPr>
      </w:pPr>
    </w:p>
    <w:p w:rsidR="00370110" w:rsidRDefault="00370110" w:rsidP="005A2C45">
      <w:pPr>
        <w:spacing w:line="360" w:lineRule="auto"/>
        <w:jc w:val="both"/>
        <w:rPr>
          <w:rFonts w:ascii="Arial" w:eastAsia="Times New Roman" w:hAnsi="Arial" w:cs="Arial"/>
          <w:b/>
          <w:color w:val="FF0000"/>
          <w:u w:val="single"/>
          <w:lang w:eastAsia="es-MX"/>
        </w:rPr>
      </w:pPr>
    </w:p>
    <w:p w:rsidR="00370110" w:rsidRDefault="00370110" w:rsidP="005A2C45">
      <w:pPr>
        <w:spacing w:line="360" w:lineRule="auto"/>
        <w:jc w:val="both"/>
        <w:rPr>
          <w:rFonts w:ascii="Arial" w:eastAsia="Times New Roman" w:hAnsi="Arial" w:cs="Arial"/>
          <w:b/>
          <w:color w:val="FF0000"/>
          <w:u w:val="single"/>
          <w:lang w:eastAsia="es-MX"/>
        </w:rPr>
      </w:pPr>
    </w:p>
    <w:p w:rsidR="00370110" w:rsidRDefault="00370110" w:rsidP="005A2C45">
      <w:pPr>
        <w:spacing w:line="360" w:lineRule="auto"/>
        <w:jc w:val="both"/>
        <w:rPr>
          <w:rFonts w:ascii="Arial" w:eastAsia="Times New Roman" w:hAnsi="Arial" w:cs="Arial"/>
          <w:b/>
          <w:color w:val="FF0000"/>
          <w:u w:val="single"/>
          <w:lang w:eastAsia="es-MX"/>
        </w:rPr>
      </w:pPr>
    </w:p>
    <w:p w:rsidR="00E320D2" w:rsidRPr="005A2C45" w:rsidRDefault="00E320D2" w:rsidP="005A2C45">
      <w:pPr>
        <w:spacing w:line="360" w:lineRule="auto"/>
        <w:jc w:val="both"/>
        <w:rPr>
          <w:rFonts w:ascii="Arial" w:eastAsia="Times New Roman" w:hAnsi="Arial" w:cs="Arial"/>
          <w:b/>
          <w:color w:val="FF0000"/>
          <w:u w:val="single"/>
          <w:lang w:eastAsia="es-MX"/>
        </w:rPr>
      </w:pPr>
      <w:r w:rsidRPr="005A2C45">
        <w:rPr>
          <w:rFonts w:ascii="Arial" w:eastAsia="Times New Roman" w:hAnsi="Arial" w:cs="Arial"/>
          <w:b/>
          <w:color w:val="FF0000"/>
          <w:u w:val="single"/>
          <w:lang w:eastAsia="es-MX"/>
        </w:rPr>
        <w:lastRenderedPageBreak/>
        <w:t>5.- Perspectivas</w:t>
      </w:r>
    </w:p>
    <w:p w:rsidR="005F3392" w:rsidRPr="005A2C45" w:rsidRDefault="005F3392" w:rsidP="005A2C45">
      <w:pPr>
        <w:spacing w:before="100" w:beforeAutospacing="1" w:after="100" w:afterAutospacing="1" w:line="360" w:lineRule="auto"/>
        <w:jc w:val="both"/>
        <w:rPr>
          <w:rFonts w:ascii="Arial" w:eastAsia="Times New Roman" w:hAnsi="Arial" w:cs="Arial"/>
          <w:lang w:eastAsia="es-ES"/>
        </w:rPr>
      </w:pPr>
      <w:r w:rsidRPr="005A2C45">
        <w:rPr>
          <w:rFonts w:ascii="Arial" w:eastAsia="Times New Roman" w:hAnsi="Arial" w:cs="Arial"/>
          <w:lang w:eastAsia="es-ES"/>
        </w:rPr>
        <w:t>El sector de la construcción y sus componentes, en especial la vivienda, suelen registrar fluctuaciones acusadas, superiores a las del resto de la economía. Los retrocesos sufridos por el sector en la pasada recesión fueron de un alcance negativo demoledor para la economía. Todo apunta ahora a que, una vez cambiado el ciclo, la construcción pase de nuevo a ser un componente de la demanda con importantes crecimientos.</w:t>
      </w:r>
    </w:p>
    <w:p w:rsidR="00E320D2" w:rsidRPr="005A2C45" w:rsidRDefault="005F3392" w:rsidP="005A2C45">
      <w:pPr>
        <w:spacing w:line="360" w:lineRule="auto"/>
        <w:jc w:val="both"/>
        <w:rPr>
          <w:rFonts w:ascii="Arial" w:eastAsia="Times New Roman" w:hAnsi="Arial" w:cs="Arial"/>
          <w:lang w:eastAsia="es-ES"/>
        </w:rPr>
      </w:pPr>
      <w:r w:rsidRPr="005A2C45">
        <w:rPr>
          <w:rFonts w:ascii="Arial" w:eastAsia="Times New Roman" w:hAnsi="Arial" w:cs="Arial"/>
          <w:lang w:eastAsia="es-ES"/>
        </w:rPr>
        <w:t>Un dato a tener en cuenta es que el programa de aportación de liquidez del Banco Central Europeo (BCE) a los bancos, diseñado para impedir la deflación en la Eurozona, impulsará la financiación crediticia en general. La construcción de nuevas viviendas había caído desde las casi 900.000 viviendas de 2006 hasta una media anual de 35.000 en 2013-2014. No es necesario que la construcción de nuevas viviendas alcance un nivel muy elevado para que la inversión en el subsector de la vivienda pase a experimentar crecimientos intensos durante algunos años, siempre que lo permita la demanda de vivienda, aunque se arranca de niveles muy reducidos de nueva construcción</w:t>
      </w:r>
    </w:p>
    <w:p w:rsidR="005F3392" w:rsidRPr="00E12623" w:rsidRDefault="005F3392" w:rsidP="00E12623">
      <w:pPr>
        <w:spacing w:before="100" w:beforeAutospacing="1" w:after="100" w:afterAutospacing="1" w:line="360" w:lineRule="auto"/>
        <w:jc w:val="both"/>
        <w:rPr>
          <w:rFonts w:ascii="Arial" w:eastAsia="Times New Roman" w:hAnsi="Arial" w:cs="Arial"/>
          <w:lang w:eastAsia="es-ES"/>
        </w:rPr>
      </w:pPr>
      <w:r w:rsidRPr="005A2C45">
        <w:rPr>
          <w:rFonts w:ascii="Arial" w:eastAsia="Times New Roman" w:hAnsi="Arial" w:cs="Arial"/>
          <w:lang w:eastAsia="es-ES"/>
        </w:rPr>
        <w:t>El componente residencial de la construcción tiene, pues, recorrido garantizado para algún tiempo aunque el ritmo será muy inferior al de la etapa. En cambio, el comportamiento de la construcción no residencial dependerá bastante de la obra pública licitada, esto es, de los recursos públicos destinados al sector, a la vista de la fuerte incidencia de la obra civil en el segmento de la construcción no residencial.</w:t>
      </w:r>
    </w:p>
    <w:p w:rsidR="005F3392" w:rsidRPr="005A2C45" w:rsidRDefault="005F3392" w:rsidP="005A2C45">
      <w:pPr>
        <w:spacing w:line="360" w:lineRule="auto"/>
        <w:jc w:val="both"/>
        <w:rPr>
          <w:rFonts w:ascii="Arial" w:eastAsia="Times New Roman" w:hAnsi="Arial" w:cs="Arial"/>
          <w:lang w:eastAsia="es-ES"/>
        </w:rPr>
      </w:pPr>
      <w:r w:rsidRPr="005A2C45">
        <w:rPr>
          <w:rFonts w:ascii="Arial" w:eastAsia="Times New Roman" w:hAnsi="Arial" w:cs="Arial"/>
          <w:lang w:eastAsia="es-ES"/>
        </w:rPr>
        <w:t>El sector de la construcción vio descender su peso en el PIB desde el 21,1% de 2007 hasta el 9,6% en 2014. Una participación "normal" oscilaría entre el 10% y el 15%, aunque lo importante no es tanto lograr una cierta presencia del sector en la economía, sino que es conveniente que crezca más siempre que ello sirva para hacer frente a las necesidades reales de alojamiento e infraestructura de la economía.</w:t>
      </w:r>
    </w:p>
    <w:p w:rsidR="005F3392" w:rsidRPr="005A2C45" w:rsidRDefault="005F3392" w:rsidP="005A2C45">
      <w:pPr>
        <w:spacing w:before="100" w:beforeAutospacing="1" w:after="100" w:afterAutospacing="1" w:line="360" w:lineRule="auto"/>
        <w:jc w:val="both"/>
        <w:rPr>
          <w:rFonts w:ascii="Arial" w:eastAsia="Times New Roman" w:hAnsi="Arial" w:cs="Arial"/>
          <w:lang w:eastAsia="es-ES"/>
        </w:rPr>
      </w:pPr>
      <w:r w:rsidRPr="005A2C45">
        <w:rPr>
          <w:rFonts w:ascii="Arial" w:eastAsia="Times New Roman" w:hAnsi="Arial" w:cs="Arial"/>
          <w:lang w:eastAsia="es-ES"/>
        </w:rPr>
        <w:t>El índice de precios de vivienda del INE, obtenido a partir de los precios declarados en las escrituras de compraventa ante notario -el más riguroso de los indicadores de precios disponibles- llegó a descender en un 37,3% desde 2007 hasta el primer trimestre de 2014. Desde esta fecha hasta el primer trimestre de 2015 el índice en cuestión ha crecido un 1,5%.</w:t>
      </w:r>
    </w:p>
    <w:p w:rsidR="00E12623" w:rsidRDefault="00E12623" w:rsidP="005A2C45">
      <w:pPr>
        <w:spacing w:before="100" w:beforeAutospacing="1" w:after="100" w:afterAutospacing="1" w:line="360" w:lineRule="auto"/>
        <w:jc w:val="both"/>
        <w:rPr>
          <w:rFonts w:ascii="Arial" w:eastAsia="Times New Roman" w:hAnsi="Arial" w:cs="Arial"/>
          <w:lang w:eastAsia="es-ES"/>
        </w:rPr>
      </w:pPr>
    </w:p>
    <w:p w:rsidR="005F3392" w:rsidRPr="005A2C45" w:rsidRDefault="005F3392" w:rsidP="005A2C45">
      <w:pPr>
        <w:spacing w:before="100" w:beforeAutospacing="1" w:after="100" w:afterAutospacing="1" w:line="360" w:lineRule="auto"/>
        <w:jc w:val="both"/>
        <w:rPr>
          <w:rFonts w:ascii="Arial" w:eastAsia="Times New Roman" w:hAnsi="Arial" w:cs="Arial"/>
          <w:lang w:eastAsia="es-ES"/>
        </w:rPr>
      </w:pPr>
      <w:r w:rsidRPr="005A2C45">
        <w:rPr>
          <w:rFonts w:ascii="Arial" w:eastAsia="Times New Roman" w:hAnsi="Arial" w:cs="Arial"/>
          <w:lang w:eastAsia="es-ES"/>
        </w:rPr>
        <w:lastRenderedPageBreak/>
        <w:t>Los datos de 2013-15 señalan que cerca del</w:t>
      </w:r>
      <w:r w:rsidR="0073240F">
        <w:rPr>
          <w:rFonts w:ascii="Arial" w:eastAsia="Times New Roman" w:hAnsi="Arial" w:cs="Arial"/>
          <w:lang w:eastAsia="es-ES"/>
        </w:rPr>
        <w:t xml:space="preserve"> </w:t>
      </w:r>
      <w:r w:rsidRPr="005A2C45">
        <w:rPr>
          <w:rFonts w:ascii="Arial" w:eastAsia="Times New Roman" w:hAnsi="Arial" w:cs="Arial"/>
          <w:lang w:eastAsia="es-ES"/>
        </w:rPr>
        <w:t>50% de las ventas de viviendas se hacen sin préstamos hipotecarios acompañantes, sino que se realizan al contado, lo que confirma la fuerte presencia de inversores entre los adquirentes. Como ya se ha indicado, entre marzo de 2015 y septiembre de 2016 el BCE aportará importantes cantidades de liquidez a los bancos, recursos que acabaran dirigiéndose a la compra de activos, como la bolsa, inmuebles no residenciales y viviendas.</w:t>
      </w:r>
    </w:p>
    <w:p w:rsidR="005F3392" w:rsidRPr="005A2C45" w:rsidRDefault="005F3392" w:rsidP="005A2C45">
      <w:pPr>
        <w:jc w:val="both"/>
        <w:rPr>
          <w:rFonts w:ascii="Arial" w:hAnsi="Arial" w:cs="Arial"/>
        </w:rPr>
      </w:pPr>
    </w:p>
    <w:p w:rsidR="002941B0" w:rsidRPr="005A2C45" w:rsidRDefault="002941B0" w:rsidP="005A2C45">
      <w:pPr>
        <w:jc w:val="both"/>
        <w:rPr>
          <w:rFonts w:ascii="Arial" w:hAnsi="Arial" w:cs="Arial"/>
        </w:rPr>
      </w:pPr>
    </w:p>
    <w:p w:rsidR="00E12623" w:rsidRPr="005A2C45" w:rsidRDefault="00E12623" w:rsidP="005A2C45">
      <w:pPr>
        <w:jc w:val="both"/>
        <w:rPr>
          <w:rFonts w:ascii="Arial" w:hAnsi="Arial" w:cs="Arial"/>
        </w:rPr>
      </w:pPr>
    </w:p>
    <w:p w:rsidR="00370110" w:rsidRDefault="00370110" w:rsidP="005A2C45">
      <w:pPr>
        <w:jc w:val="both"/>
        <w:rPr>
          <w:rFonts w:ascii="Arial" w:hAnsi="Arial" w:cs="Arial"/>
        </w:rPr>
      </w:pPr>
    </w:p>
    <w:p w:rsidR="00370110" w:rsidRDefault="00370110" w:rsidP="005A2C45">
      <w:pPr>
        <w:jc w:val="both"/>
        <w:rPr>
          <w:rFonts w:ascii="Arial" w:hAnsi="Arial" w:cs="Arial"/>
        </w:rPr>
      </w:pPr>
    </w:p>
    <w:p w:rsidR="00370110" w:rsidRDefault="00370110" w:rsidP="005A2C45">
      <w:pPr>
        <w:jc w:val="both"/>
        <w:rPr>
          <w:rFonts w:ascii="Arial" w:hAnsi="Arial" w:cs="Arial"/>
        </w:rPr>
      </w:pPr>
    </w:p>
    <w:p w:rsidR="00370110" w:rsidRDefault="00370110" w:rsidP="005A2C45">
      <w:pPr>
        <w:jc w:val="both"/>
        <w:rPr>
          <w:rFonts w:ascii="Arial" w:hAnsi="Arial" w:cs="Arial"/>
        </w:rPr>
      </w:pPr>
    </w:p>
    <w:p w:rsidR="00370110" w:rsidRDefault="00370110" w:rsidP="005A2C45">
      <w:pPr>
        <w:jc w:val="both"/>
        <w:rPr>
          <w:rFonts w:ascii="Arial" w:hAnsi="Arial" w:cs="Arial"/>
        </w:rPr>
      </w:pPr>
    </w:p>
    <w:p w:rsidR="00370110" w:rsidRDefault="00370110" w:rsidP="005A2C45">
      <w:pPr>
        <w:jc w:val="both"/>
        <w:rPr>
          <w:rFonts w:ascii="Arial" w:hAnsi="Arial" w:cs="Arial"/>
        </w:rPr>
      </w:pPr>
    </w:p>
    <w:p w:rsidR="005A2C45" w:rsidRDefault="002941B0" w:rsidP="005A2C45">
      <w:pPr>
        <w:jc w:val="both"/>
        <w:rPr>
          <w:rFonts w:ascii="Arial" w:hAnsi="Arial" w:cs="Arial"/>
        </w:rPr>
      </w:pPr>
      <w:r w:rsidRPr="005A2C45">
        <w:rPr>
          <w:rFonts w:ascii="Arial" w:hAnsi="Arial" w:cs="Arial"/>
        </w:rPr>
        <w:t>Bibliografía:</w:t>
      </w:r>
    </w:p>
    <w:p w:rsidR="0073240F" w:rsidRDefault="00CD18D6" w:rsidP="005A2C45">
      <w:pPr>
        <w:jc w:val="both"/>
        <w:rPr>
          <w:rFonts w:ascii="Arial" w:hAnsi="Arial" w:cs="Arial"/>
        </w:rPr>
      </w:pPr>
      <w:hyperlink r:id="rId11" w:history="1">
        <w:r w:rsidR="0073240F" w:rsidRPr="00F95EAD">
          <w:rPr>
            <w:rStyle w:val="Hipervnculo"/>
            <w:rFonts w:ascii="Arial" w:hAnsi="Arial" w:cs="Arial"/>
          </w:rPr>
          <w:t>http://www.udape.gob.bo/portales_html/diagnosticos/documentos/TOMO%20X%20-%20SECTOR%20CONSTRUCCI%C3%93N.pdf</w:t>
        </w:r>
      </w:hyperlink>
    </w:p>
    <w:p w:rsidR="0073240F" w:rsidRPr="005A2C45" w:rsidRDefault="0073240F" w:rsidP="005A2C45">
      <w:pPr>
        <w:jc w:val="both"/>
        <w:rPr>
          <w:rFonts w:ascii="Arial" w:hAnsi="Arial" w:cs="Arial"/>
        </w:rPr>
      </w:pPr>
    </w:p>
    <w:p w:rsidR="002941B0" w:rsidRDefault="002941B0" w:rsidP="005A2C45">
      <w:pPr>
        <w:jc w:val="both"/>
        <w:rPr>
          <w:rStyle w:val="Hipervnculo"/>
          <w:rFonts w:ascii="Arial" w:hAnsi="Arial" w:cs="Arial"/>
        </w:rPr>
      </w:pPr>
      <w:r w:rsidRPr="005A2C45">
        <w:rPr>
          <w:rFonts w:ascii="Arial" w:hAnsi="Arial" w:cs="Arial"/>
        </w:rPr>
        <w:t xml:space="preserve"> </w:t>
      </w:r>
      <w:hyperlink r:id="rId12" w:history="1">
        <w:r w:rsidRPr="005A2C45">
          <w:rPr>
            <w:rStyle w:val="Hipervnculo"/>
            <w:rFonts w:ascii="Arial" w:hAnsi="Arial" w:cs="Arial"/>
          </w:rPr>
          <w:t>http://www.la-razon.com/index.php?_url=/economia/Sector-construccion-preve-ano-crecimiento_0_2011598899.html</w:t>
        </w:r>
      </w:hyperlink>
    </w:p>
    <w:p w:rsidR="0073240F" w:rsidRPr="005A2C45" w:rsidRDefault="0073240F" w:rsidP="005A2C45">
      <w:pPr>
        <w:jc w:val="both"/>
        <w:rPr>
          <w:rFonts w:ascii="Arial" w:hAnsi="Arial" w:cs="Arial"/>
        </w:rPr>
      </w:pPr>
    </w:p>
    <w:p w:rsidR="002941B0" w:rsidRDefault="00CD18D6" w:rsidP="005A2C45">
      <w:pPr>
        <w:jc w:val="both"/>
        <w:rPr>
          <w:rStyle w:val="Hipervnculo"/>
          <w:rFonts w:ascii="Arial" w:hAnsi="Arial" w:cs="Arial"/>
        </w:rPr>
      </w:pPr>
      <w:hyperlink r:id="rId13" w:history="1">
        <w:r w:rsidR="002941B0" w:rsidRPr="005A2C45">
          <w:rPr>
            <w:rStyle w:val="Hipervnculo"/>
            <w:rFonts w:ascii="Arial" w:hAnsi="Arial" w:cs="Arial"/>
          </w:rPr>
          <w:t>http://www.cobolca.com/2015/01/construccion-mantiene-su-ritmo-de_14.html</w:t>
        </w:r>
      </w:hyperlink>
    </w:p>
    <w:p w:rsidR="0073240F" w:rsidRPr="005A2C45" w:rsidRDefault="0073240F" w:rsidP="005A2C45">
      <w:pPr>
        <w:jc w:val="both"/>
        <w:rPr>
          <w:rFonts w:ascii="Arial" w:hAnsi="Arial" w:cs="Arial"/>
        </w:rPr>
      </w:pPr>
    </w:p>
    <w:p w:rsidR="002941B0" w:rsidRDefault="00CD18D6" w:rsidP="005A2C45">
      <w:pPr>
        <w:jc w:val="both"/>
        <w:rPr>
          <w:rStyle w:val="Hipervnculo"/>
          <w:rFonts w:ascii="Arial" w:hAnsi="Arial" w:cs="Arial"/>
        </w:rPr>
      </w:pPr>
      <w:hyperlink r:id="rId14" w:history="1">
        <w:r w:rsidR="002941B0" w:rsidRPr="005A2C45">
          <w:rPr>
            <w:rStyle w:val="Hipervnculo"/>
            <w:rFonts w:ascii="Arial" w:hAnsi="Arial" w:cs="Arial"/>
          </w:rPr>
          <w:t>http://www.erbol.com.bo/noticia/economia/10012014/caboco_sector_construccion_crecio_un_76_en_2013</w:t>
        </w:r>
      </w:hyperlink>
    </w:p>
    <w:p w:rsidR="005A2C45" w:rsidRPr="005A2C45" w:rsidRDefault="005A2C45" w:rsidP="005A2C45">
      <w:pPr>
        <w:jc w:val="both"/>
        <w:rPr>
          <w:rFonts w:ascii="Arial" w:hAnsi="Arial" w:cs="Arial"/>
        </w:rPr>
      </w:pPr>
      <w:r w:rsidRPr="005A2C45">
        <w:rPr>
          <w:rFonts w:ascii="Arial" w:hAnsi="Arial" w:cs="Arial"/>
        </w:rPr>
        <w:br w:type="page"/>
      </w:r>
    </w:p>
    <w:p w:rsidR="002941B0" w:rsidRPr="005A2C45" w:rsidRDefault="005A2C45" w:rsidP="005A2C45">
      <w:pPr>
        <w:jc w:val="both"/>
        <w:rPr>
          <w:rFonts w:ascii="Arial" w:hAnsi="Arial" w:cs="Arial"/>
          <w:b/>
          <w:color w:val="FF0000"/>
          <w:u w:val="single"/>
        </w:rPr>
      </w:pPr>
      <w:r w:rsidRPr="005A2C45">
        <w:rPr>
          <w:rFonts w:ascii="Arial" w:eastAsia="Times New Roman" w:hAnsi="Arial" w:cs="Arial"/>
          <w:noProof/>
          <w:lang w:eastAsia="es-ES"/>
        </w:rPr>
        <w:lastRenderedPageBreak/>
        <w:drawing>
          <wp:anchor distT="0" distB="0" distL="114300" distR="114300" simplePos="0" relativeHeight="251682304" behindDoc="1" locked="0" layoutInCell="1" allowOverlap="1" wp14:anchorId="588562D2" wp14:editId="102CEE4E">
            <wp:simplePos x="0" y="0"/>
            <wp:positionH relativeFrom="column">
              <wp:posOffset>2875280</wp:posOffset>
            </wp:positionH>
            <wp:positionV relativeFrom="paragraph">
              <wp:posOffset>322580</wp:posOffset>
            </wp:positionV>
            <wp:extent cx="3361055" cy="2547620"/>
            <wp:effectExtent l="76200" t="76200" r="125095" b="138430"/>
            <wp:wrapTight wrapText="bothSides">
              <wp:wrapPolygon edited="0">
                <wp:start x="-245" y="-646"/>
                <wp:lineTo x="-490" y="-485"/>
                <wp:lineTo x="-490" y="21966"/>
                <wp:lineTo x="-245" y="22612"/>
                <wp:lineTo x="22037" y="22612"/>
                <wp:lineTo x="22282" y="20351"/>
                <wp:lineTo x="22282" y="2100"/>
                <wp:lineTo x="22037" y="-323"/>
                <wp:lineTo x="22037" y="-646"/>
                <wp:lineTo x="-245" y="-646"/>
              </wp:wrapPolygon>
            </wp:wrapTight>
            <wp:docPr id="7" name="Imagen 7" descr="http://www.opinion.com.bo/opinion/articulos/2013/1108/fotos/00295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inion.com.bo/opinion/articulos/2013/1108/fotos/002952_6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1055" cy="2547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A2C45">
        <w:rPr>
          <w:rFonts w:ascii="Arial" w:hAnsi="Arial" w:cs="Arial"/>
          <w:b/>
          <w:color w:val="FF0000"/>
          <w:u w:val="single"/>
        </w:rPr>
        <w:t>Anexos</w:t>
      </w:r>
    </w:p>
    <w:p w:rsidR="000D6A37" w:rsidRDefault="000D6A37">
      <w:pPr>
        <w:rPr>
          <w:rFonts w:ascii="Arial" w:hAnsi="Arial" w:cs="Arial"/>
          <w:b/>
          <w:color w:val="FF0000"/>
          <w:u w:val="single"/>
        </w:rPr>
      </w:pPr>
      <w:r w:rsidRPr="005A2C45">
        <w:rPr>
          <w:rFonts w:ascii="Arial" w:hAnsi="Arial" w:cs="Arial"/>
          <w:noProof/>
          <w:lang w:eastAsia="es-ES"/>
        </w:rPr>
        <w:drawing>
          <wp:anchor distT="0" distB="0" distL="114300" distR="114300" simplePos="0" relativeHeight="251684352" behindDoc="1" locked="0" layoutInCell="1" allowOverlap="1" wp14:anchorId="578C0BDE" wp14:editId="32B027C1">
            <wp:simplePos x="0" y="0"/>
            <wp:positionH relativeFrom="column">
              <wp:posOffset>501015</wp:posOffset>
            </wp:positionH>
            <wp:positionV relativeFrom="paragraph">
              <wp:posOffset>3206750</wp:posOffset>
            </wp:positionV>
            <wp:extent cx="4462780" cy="4940300"/>
            <wp:effectExtent l="76200" t="76200" r="128270" b="12700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780" cy="494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A2C45">
        <w:rPr>
          <w:rFonts w:ascii="Arial" w:eastAsia="Times New Roman" w:hAnsi="Arial" w:cs="Arial"/>
          <w:noProof/>
          <w:lang w:eastAsia="es-ES"/>
        </w:rPr>
        <w:drawing>
          <wp:anchor distT="0" distB="0" distL="114300" distR="114300" simplePos="0" relativeHeight="251680256" behindDoc="1" locked="0" layoutInCell="1" allowOverlap="1" wp14:anchorId="053FECE4" wp14:editId="006FAB3E">
            <wp:simplePos x="0" y="0"/>
            <wp:positionH relativeFrom="column">
              <wp:posOffset>-481965</wp:posOffset>
            </wp:positionH>
            <wp:positionV relativeFrom="paragraph">
              <wp:posOffset>38100</wp:posOffset>
            </wp:positionV>
            <wp:extent cx="3200400" cy="2536825"/>
            <wp:effectExtent l="76200" t="76200" r="133350" b="130175"/>
            <wp:wrapTight wrapText="bothSides">
              <wp:wrapPolygon edited="0">
                <wp:start x="-257" y="-649"/>
                <wp:lineTo x="-514" y="-487"/>
                <wp:lineTo x="-514" y="21897"/>
                <wp:lineTo x="-257" y="22546"/>
                <wp:lineTo x="22114" y="22546"/>
                <wp:lineTo x="22371" y="20438"/>
                <wp:lineTo x="22371" y="2109"/>
                <wp:lineTo x="22114" y="-324"/>
                <wp:lineTo x="22114" y="-649"/>
                <wp:lineTo x="-257" y="-649"/>
              </wp:wrapPolygon>
            </wp:wrapTight>
            <wp:docPr id="2" name="Imagen 2" descr="Cochabamba. Avance de obras en la doble vía Vinto-Suticollo Foto. Fernado Cartagena-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habamba. Avance de obras en la doble vía Vinto-Suticollo Foto. Fernado Cartagena-archi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53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color w:val="FF0000"/>
          <w:u w:val="single"/>
        </w:rPr>
        <w:br w:type="page"/>
      </w:r>
    </w:p>
    <w:p w:rsidR="00B56690" w:rsidRDefault="000D6A37" w:rsidP="005A2C45">
      <w:pPr>
        <w:jc w:val="both"/>
        <w:rPr>
          <w:rFonts w:ascii="Arial" w:hAnsi="Arial" w:cs="Arial"/>
          <w:b/>
          <w:color w:val="FF0000"/>
          <w:u w:val="single"/>
        </w:rPr>
      </w:pPr>
      <w:r w:rsidRPr="005A2C45">
        <w:rPr>
          <w:rFonts w:ascii="Arial" w:hAnsi="Arial" w:cs="Arial"/>
          <w:noProof/>
          <w:lang w:eastAsia="es-ES"/>
        </w:rPr>
        <w:lastRenderedPageBreak/>
        <w:drawing>
          <wp:anchor distT="0" distB="0" distL="114300" distR="114300" simplePos="0" relativeHeight="251686400" behindDoc="1" locked="0" layoutInCell="1" allowOverlap="1" wp14:anchorId="64E2855B" wp14:editId="6122CFFE">
            <wp:simplePos x="0" y="0"/>
            <wp:positionH relativeFrom="column">
              <wp:posOffset>364490</wp:posOffset>
            </wp:positionH>
            <wp:positionV relativeFrom="paragraph">
              <wp:posOffset>-309880</wp:posOffset>
            </wp:positionV>
            <wp:extent cx="4512945" cy="2388870"/>
            <wp:effectExtent l="0" t="0" r="1905" b="0"/>
            <wp:wrapTight wrapText="bothSides">
              <wp:wrapPolygon edited="0">
                <wp:start x="0" y="0"/>
                <wp:lineTo x="0" y="21359"/>
                <wp:lineTo x="21518" y="21359"/>
                <wp:lineTo x="21518" y="0"/>
                <wp:lineTo x="0" y="0"/>
              </wp:wrapPolygon>
            </wp:wrapTight>
            <wp:docPr id="4" name="Imagen 4" descr="http://ep01.epimg.net/economia/imagenes/2015/06/19/vivienda/1434705257_455877_1434705339_sumario_normal.jpg"/>
            <wp:cNvGraphicFramePr/>
            <a:graphic xmlns:a="http://schemas.openxmlformats.org/drawingml/2006/main">
              <a:graphicData uri="http://schemas.openxmlformats.org/drawingml/2006/picture">
                <pic:pic xmlns:pic="http://schemas.openxmlformats.org/drawingml/2006/picture">
                  <pic:nvPicPr>
                    <pic:cNvPr id="1" name="Imagen 1" descr="http://ep01.epimg.net/economia/imagenes/2015/06/19/vivienda/1434705257_455877_1434705339_sumario_normal.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2945"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690" w:rsidRPr="00B56690" w:rsidRDefault="00B56690" w:rsidP="00B56690">
      <w:pPr>
        <w:rPr>
          <w:rFonts w:ascii="Arial" w:hAnsi="Arial" w:cs="Arial"/>
        </w:rPr>
      </w:pPr>
    </w:p>
    <w:p w:rsidR="00B56690" w:rsidRPr="00B56690" w:rsidRDefault="00B56690" w:rsidP="00B56690">
      <w:pPr>
        <w:rPr>
          <w:rFonts w:ascii="Arial" w:hAnsi="Arial" w:cs="Arial"/>
        </w:rPr>
      </w:pPr>
    </w:p>
    <w:p w:rsidR="00B56690" w:rsidRPr="00B56690" w:rsidRDefault="00B56690" w:rsidP="00B56690">
      <w:pPr>
        <w:rPr>
          <w:rFonts w:ascii="Arial" w:hAnsi="Arial" w:cs="Arial"/>
        </w:rPr>
      </w:pPr>
    </w:p>
    <w:p w:rsidR="00B56690" w:rsidRPr="00B56690" w:rsidRDefault="00B56690" w:rsidP="00B56690">
      <w:pPr>
        <w:rPr>
          <w:rFonts w:ascii="Arial" w:hAnsi="Arial" w:cs="Arial"/>
        </w:rPr>
      </w:pPr>
    </w:p>
    <w:p w:rsidR="00B56690" w:rsidRPr="00B56690" w:rsidRDefault="00B56690" w:rsidP="00B56690">
      <w:pPr>
        <w:rPr>
          <w:rFonts w:ascii="Arial" w:hAnsi="Arial" w:cs="Arial"/>
        </w:rPr>
      </w:pPr>
    </w:p>
    <w:p w:rsidR="00B56690" w:rsidRPr="00B56690" w:rsidRDefault="00B56690" w:rsidP="00B56690">
      <w:pPr>
        <w:rPr>
          <w:rFonts w:ascii="Arial" w:hAnsi="Arial" w:cs="Arial"/>
        </w:rPr>
      </w:pPr>
    </w:p>
    <w:p w:rsidR="00B56690" w:rsidRPr="00B56690" w:rsidRDefault="00B56690" w:rsidP="00B56690">
      <w:pPr>
        <w:rPr>
          <w:rFonts w:ascii="Arial" w:hAnsi="Arial" w:cs="Arial"/>
        </w:rPr>
      </w:pPr>
      <w:r>
        <w:rPr>
          <w:rFonts w:ascii="FrutigerLTStd-Roman" w:hAnsi="FrutigerLTStd-Roman" w:cs="FrutigerLTStd-Roman"/>
          <w:noProof/>
          <w:color w:val="58595B"/>
          <w:sz w:val="18"/>
          <w:szCs w:val="18"/>
          <w:lang w:eastAsia="es-ES"/>
        </w:rPr>
        <w:drawing>
          <wp:anchor distT="0" distB="0" distL="114300" distR="114300" simplePos="0" relativeHeight="251687424" behindDoc="1" locked="0" layoutInCell="1" allowOverlap="1" wp14:anchorId="50728850" wp14:editId="54E44AE4">
            <wp:simplePos x="0" y="0"/>
            <wp:positionH relativeFrom="column">
              <wp:posOffset>363855</wp:posOffset>
            </wp:positionH>
            <wp:positionV relativeFrom="paragraph">
              <wp:posOffset>43180</wp:posOffset>
            </wp:positionV>
            <wp:extent cx="4486275" cy="3114675"/>
            <wp:effectExtent l="0" t="0" r="9525" b="9525"/>
            <wp:wrapTight wrapText="bothSides">
              <wp:wrapPolygon edited="0">
                <wp:start x="0" y="0"/>
                <wp:lineTo x="0" y="21534"/>
                <wp:lineTo x="21554" y="21534"/>
                <wp:lineTo x="2155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690" w:rsidRPr="00B56690" w:rsidRDefault="00B56690" w:rsidP="00B56690">
      <w:pPr>
        <w:rPr>
          <w:rFonts w:ascii="Arial" w:hAnsi="Arial" w:cs="Arial"/>
        </w:rPr>
      </w:pPr>
    </w:p>
    <w:p w:rsidR="00B56690" w:rsidRPr="00B56690" w:rsidRDefault="00B56690" w:rsidP="00B56690">
      <w:pPr>
        <w:rPr>
          <w:rFonts w:ascii="Arial" w:hAnsi="Arial" w:cs="Arial"/>
        </w:rPr>
      </w:pPr>
    </w:p>
    <w:p w:rsidR="00B56690" w:rsidRPr="00B56690" w:rsidRDefault="00B56690" w:rsidP="00B56690">
      <w:pPr>
        <w:rPr>
          <w:rFonts w:ascii="Arial" w:hAnsi="Arial" w:cs="Arial"/>
        </w:rPr>
      </w:pPr>
    </w:p>
    <w:p w:rsidR="00B56690" w:rsidRDefault="00B56690" w:rsidP="00B56690">
      <w:pPr>
        <w:rPr>
          <w:rFonts w:ascii="Arial" w:hAnsi="Arial" w:cs="Arial"/>
        </w:rPr>
      </w:pPr>
    </w:p>
    <w:p w:rsidR="00B56690" w:rsidRDefault="00B56690" w:rsidP="00B56690">
      <w:pPr>
        <w:rPr>
          <w:rFonts w:ascii="Arial" w:hAnsi="Arial" w:cs="Arial"/>
        </w:rPr>
      </w:pPr>
    </w:p>
    <w:p w:rsidR="00BB0003" w:rsidRDefault="00BB0003">
      <w:pPr>
        <w:rPr>
          <w:rFonts w:ascii="Arial" w:hAnsi="Arial" w:cs="Arial"/>
        </w:rPr>
      </w:pPr>
      <w:r>
        <w:rPr>
          <w:rFonts w:ascii="BellGothicStd-Black" w:hAnsi="BellGothicStd-Black" w:cs="BellGothicStd-Black"/>
          <w:noProof/>
          <w:color w:val="00578A"/>
          <w:sz w:val="131"/>
          <w:szCs w:val="131"/>
          <w:lang w:eastAsia="es-ES"/>
        </w:rPr>
        <w:drawing>
          <wp:anchor distT="0" distB="0" distL="114300" distR="114300" simplePos="0" relativeHeight="251688448" behindDoc="1" locked="0" layoutInCell="1" allowOverlap="1" wp14:anchorId="7625AEAA" wp14:editId="1EAAAD6A">
            <wp:simplePos x="0" y="0"/>
            <wp:positionH relativeFrom="column">
              <wp:posOffset>541655</wp:posOffset>
            </wp:positionH>
            <wp:positionV relativeFrom="paragraph">
              <wp:posOffset>1459865</wp:posOffset>
            </wp:positionV>
            <wp:extent cx="4333875" cy="3057525"/>
            <wp:effectExtent l="0" t="0" r="9525" b="9525"/>
            <wp:wrapTight wrapText="bothSides">
              <wp:wrapPolygon edited="0">
                <wp:start x="0" y="0"/>
                <wp:lineTo x="0" y="21533"/>
                <wp:lineTo x="21553" y="21533"/>
                <wp:lineTo x="2155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387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page"/>
      </w:r>
    </w:p>
    <w:p w:rsidR="005A2C45" w:rsidRPr="00B56690" w:rsidRDefault="00BB0003" w:rsidP="00B56690">
      <w:pPr>
        <w:rPr>
          <w:rFonts w:ascii="Arial" w:hAnsi="Arial" w:cs="Arial"/>
        </w:rPr>
      </w:pPr>
      <w:r w:rsidRPr="00BB0003">
        <w:rPr>
          <w:rFonts w:ascii="Arial" w:hAnsi="Arial" w:cs="Arial"/>
          <w:noProof/>
          <w:lang w:eastAsia="es-ES"/>
        </w:rPr>
        <w:lastRenderedPageBreak/>
        <w:drawing>
          <wp:inline distT="0" distB="0" distL="0" distR="0" wp14:anchorId="03D76575" wp14:editId="795BF7FE">
            <wp:extent cx="5612130" cy="4262120"/>
            <wp:effectExtent l="0" t="0" r="7620" b="508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4571" t="16661" r="46275" b="30605"/>
                    <a:stretch/>
                  </pic:blipFill>
                  <pic:spPr bwMode="auto">
                    <a:xfrm>
                      <a:off x="0" y="0"/>
                      <a:ext cx="5612130" cy="4262120"/>
                    </a:xfrm>
                    <a:prstGeom prst="rect">
                      <a:avLst/>
                    </a:prstGeom>
                    <a:noFill/>
                    <a:ln>
                      <a:noFill/>
                    </a:ln>
                    <a:effectLst/>
                    <a:extLst/>
                  </pic:spPr>
                </pic:pic>
              </a:graphicData>
            </a:graphic>
          </wp:inline>
        </w:drawing>
      </w:r>
      <w:r w:rsidR="00D6509A" w:rsidRPr="00D6509A">
        <w:rPr>
          <w:noProof/>
          <w:lang w:eastAsia="es-ES"/>
        </w:rPr>
        <w:t xml:space="preserve"> </w:t>
      </w:r>
      <w:r w:rsidR="00D6509A" w:rsidRPr="00D6509A">
        <w:rPr>
          <w:rFonts w:ascii="Arial" w:hAnsi="Arial" w:cs="Arial"/>
        </w:rPr>
        <w:drawing>
          <wp:anchor distT="0" distB="0" distL="114300" distR="114300" simplePos="0" relativeHeight="251689472" behindDoc="1" locked="0" layoutInCell="1" allowOverlap="1">
            <wp:simplePos x="0" y="0"/>
            <wp:positionH relativeFrom="column">
              <wp:posOffset>5715</wp:posOffset>
            </wp:positionH>
            <wp:positionV relativeFrom="paragraph">
              <wp:posOffset>14605</wp:posOffset>
            </wp:positionV>
            <wp:extent cx="5612130" cy="4163695"/>
            <wp:effectExtent l="0" t="0" r="7620" b="8255"/>
            <wp:wrapTight wrapText="bothSides">
              <wp:wrapPolygon edited="0">
                <wp:start x="0" y="0"/>
                <wp:lineTo x="0" y="21544"/>
                <wp:lineTo x="21556" y="21544"/>
                <wp:lineTo x="21556"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0749" t="42154" r="29122" b="15225"/>
                    <a:stretch/>
                  </pic:blipFill>
                  <pic:spPr bwMode="auto">
                    <a:xfrm>
                      <a:off x="0" y="0"/>
                      <a:ext cx="5612130" cy="41636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sectPr w:rsidR="005A2C45" w:rsidRPr="00B56690" w:rsidSect="009F0430">
      <w:headerReference w:type="default" r:id="rId23"/>
      <w:footerReference w:type="default" r:id="rId24"/>
      <w:pgSz w:w="12240" w:h="15840" w:code="1"/>
      <w:pgMar w:top="1417" w:right="1418" w:bottom="1417"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C45" w:rsidRDefault="005A2C45" w:rsidP="005A2C45">
      <w:pPr>
        <w:spacing w:after="0" w:line="240" w:lineRule="auto"/>
      </w:pPr>
      <w:r>
        <w:separator/>
      </w:r>
    </w:p>
  </w:endnote>
  <w:endnote w:type="continuationSeparator" w:id="0">
    <w:p w:rsidR="005A2C45" w:rsidRDefault="005A2C45" w:rsidP="005A2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LTStd-Roman">
    <w:panose1 w:val="00000000000000000000"/>
    <w:charset w:val="00"/>
    <w:family w:val="swiss"/>
    <w:notTrueType/>
    <w:pitch w:val="default"/>
    <w:sig w:usb0="00000003" w:usb1="00000000" w:usb2="00000000" w:usb3="00000000" w:csb0="00000001" w:csb1="00000000"/>
  </w:font>
  <w:font w:name="BellGothicStd-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415657"/>
      <w:docPartObj>
        <w:docPartGallery w:val="Page Numbers (Bottom of Page)"/>
        <w:docPartUnique/>
      </w:docPartObj>
    </w:sdtPr>
    <w:sdtEndPr/>
    <w:sdtContent>
      <w:p w:rsidR="00E12623" w:rsidRDefault="00E12623">
        <w:pPr>
          <w:pStyle w:val="Piedepgina"/>
          <w:jc w:val="right"/>
        </w:pPr>
        <w:r>
          <w:fldChar w:fldCharType="begin"/>
        </w:r>
        <w:r>
          <w:instrText>PAGE   \* MERGEFORMAT</w:instrText>
        </w:r>
        <w:r>
          <w:fldChar w:fldCharType="separate"/>
        </w:r>
        <w:r w:rsidR="00CD18D6">
          <w:rPr>
            <w:noProof/>
          </w:rPr>
          <w:t>14</w:t>
        </w:r>
        <w:r>
          <w:fldChar w:fldCharType="end"/>
        </w:r>
      </w:p>
    </w:sdtContent>
  </w:sdt>
  <w:p w:rsidR="005A2C45" w:rsidRDefault="005A2C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C45" w:rsidRDefault="005A2C45" w:rsidP="005A2C45">
      <w:pPr>
        <w:spacing w:after="0" w:line="240" w:lineRule="auto"/>
      </w:pPr>
      <w:r>
        <w:separator/>
      </w:r>
    </w:p>
  </w:footnote>
  <w:footnote w:type="continuationSeparator" w:id="0">
    <w:p w:rsidR="005A2C45" w:rsidRDefault="005A2C45" w:rsidP="005A2C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23" w:rsidRDefault="00E126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1617"/>
    <w:multiLevelType w:val="hybridMultilevel"/>
    <w:tmpl w:val="261417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0237692"/>
    <w:multiLevelType w:val="multilevel"/>
    <w:tmpl w:val="2612D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294E96"/>
    <w:multiLevelType w:val="hybridMultilevel"/>
    <w:tmpl w:val="2884BB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3F573AEA"/>
    <w:multiLevelType w:val="hybridMultilevel"/>
    <w:tmpl w:val="9F6ED9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8047D23"/>
    <w:multiLevelType w:val="hybridMultilevel"/>
    <w:tmpl w:val="1490429C"/>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8937552"/>
    <w:multiLevelType w:val="hybridMultilevel"/>
    <w:tmpl w:val="3962F6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1A14F6E"/>
    <w:multiLevelType w:val="hybridMultilevel"/>
    <w:tmpl w:val="DFC65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E8D08D8"/>
    <w:multiLevelType w:val="hybridMultilevel"/>
    <w:tmpl w:val="E242B836"/>
    <w:lvl w:ilvl="0" w:tplc="0C0A0001">
      <w:start w:val="1"/>
      <w:numFmt w:val="bullet"/>
      <w:lvlText w:val=""/>
      <w:lvlJc w:val="left"/>
      <w:pPr>
        <w:ind w:left="720" w:hanging="360"/>
      </w:pPr>
      <w:rPr>
        <w:rFonts w:ascii="Symbol" w:hAnsi="Symbol" w:hint="default"/>
      </w:rPr>
    </w:lvl>
    <w:lvl w:ilvl="1" w:tplc="9C4A4028">
      <w:numFmt w:val="bullet"/>
      <w:lvlText w:val="—"/>
      <w:lvlJc w:val="left"/>
      <w:pPr>
        <w:ind w:left="1440" w:hanging="360"/>
      </w:pPr>
      <w:rPr>
        <w:rFonts w:ascii="Arial" w:eastAsia="Times New Roman" w:hAnsi="Arial"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2E83C98"/>
    <w:multiLevelType w:val="hybridMultilevel"/>
    <w:tmpl w:val="9C96A0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6AC70EB"/>
    <w:multiLevelType w:val="hybridMultilevel"/>
    <w:tmpl w:val="887A59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9"/>
  </w:num>
  <w:num w:numId="5">
    <w:abstractNumId w:val="0"/>
  </w:num>
  <w:num w:numId="6">
    <w:abstractNumId w:val="6"/>
  </w:num>
  <w:num w:numId="7">
    <w:abstractNumId w:val="7"/>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BF0"/>
    <w:rsid w:val="00062460"/>
    <w:rsid w:val="000D6A37"/>
    <w:rsid w:val="00110160"/>
    <w:rsid w:val="0020144C"/>
    <w:rsid w:val="002442FE"/>
    <w:rsid w:val="002941B0"/>
    <w:rsid w:val="002B3362"/>
    <w:rsid w:val="002E5483"/>
    <w:rsid w:val="00370110"/>
    <w:rsid w:val="003A48B0"/>
    <w:rsid w:val="00470BFF"/>
    <w:rsid w:val="004C2646"/>
    <w:rsid w:val="004E2D92"/>
    <w:rsid w:val="00551E91"/>
    <w:rsid w:val="00572AD6"/>
    <w:rsid w:val="005A2C45"/>
    <w:rsid w:val="005F3392"/>
    <w:rsid w:val="006462BA"/>
    <w:rsid w:val="006E4151"/>
    <w:rsid w:val="007159D3"/>
    <w:rsid w:val="0072586C"/>
    <w:rsid w:val="0073240F"/>
    <w:rsid w:val="00770652"/>
    <w:rsid w:val="00915A25"/>
    <w:rsid w:val="00922904"/>
    <w:rsid w:val="00953BA9"/>
    <w:rsid w:val="00990F5D"/>
    <w:rsid w:val="009B0820"/>
    <w:rsid w:val="009F0430"/>
    <w:rsid w:val="00B56690"/>
    <w:rsid w:val="00BB0003"/>
    <w:rsid w:val="00BE4DAD"/>
    <w:rsid w:val="00C07946"/>
    <w:rsid w:val="00C4418B"/>
    <w:rsid w:val="00C85343"/>
    <w:rsid w:val="00CD18D6"/>
    <w:rsid w:val="00CF1DDF"/>
    <w:rsid w:val="00D6509A"/>
    <w:rsid w:val="00D73D6B"/>
    <w:rsid w:val="00DC3CC1"/>
    <w:rsid w:val="00DF65F6"/>
    <w:rsid w:val="00E12623"/>
    <w:rsid w:val="00E253BF"/>
    <w:rsid w:val="00E320D2"/>
    <w:rsid w:val="00EB3B9D"/>
    <w:rsid w:val="00FA6BF0"/>
    <w:rsid w:val="00FD49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9B0820"/>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A6BF0"/>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E32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20D2"/>
    <w:rPr>
      <w:rFonts w:ascii="Tahoma" w:hAnsi="Tahoma" w:cs="Tahoma"/>
      <w:sz w:val="16"/>
      <w:szCs w:val="16"/>
    </w:rPr>
  </w:style>
  <w:style w:type="paragraph" w:styleId="Prrafodelista">
    <w:name w:val="List Paragraph"/>
    <w:basedOn w:val="Normal"/>
    <w:uiPriority w:val="34"/>
    <w:qFormat/>
    <w:rsid w:val="00770652"/>
    <w:pPr>
      <w:ind w:left="720"/>
      <w:contextualSpacing/>
    </w:pPr>
  </w:style>
  <w:style w:type="character" w:customStyle="1" w:styleId="Ttulo3Car">
    <w:name w:val="Título 3 Car"/>
    <w:basedOn w:val="Fuentedeprrafopredeter"/>
    <w:link w:val="Ttulo3"/>
    <w:uiPriority w:val="9"/>
    <w:rsid w:val="009B0820"/>
    <w:rPr>
      <w:rFonts w:ascii="Times New Roman" w:eastAsia="Times New Roman" w:hAnsi="Times New Roman" w:cs="Times New Roman"/>
      <w:b/>
      <w:bCs/>
      <w:sz w:val="27"/>
      <w:szCs w:val="27"/>
      <w:lang w:eastAsia="es-ES"/>
    </w:rPr>
  </w:style>
  <w:style w:type="character" w:customStyle="1" w:styleId="apple-converted-space">
    <w:name w:val="apple-converted-space"/>
    <w:basedOn w:val="Fuentedeprrafopredeter"/>
    <w:rsid w:val="00915A25"/>
  </w:style>
  <w:style w:type="character" w:styleId="Hipervnculo">
    <w:name w:val="Hyperlink"/>
    <w:basedOn w:val="Fuentedeprrafopredeter"/>
    <w:uiPriority w:val="99"/>
    <w:unhideWhenUsed/>
    <w:rsid w:val="002941B0"/>
    <w:rPr>
      <w:color w:val="0000FF" w:themeColor="hyperlink"/>
      <w:u w:val="single"/>
    </w:rPr>
  </w:style>
  <w:style w:type="paragraph" w:styleId="Encabezado">
    <w:name w:val="header"/>
    <w:basedOn w:val="Normal"/>
    <w:link w:val="EncabezadoCar"/>
    <w:uiPriority w:val="99"/>
    <w:unhideWhenUsed/>
    <w:rsid w:val="005A2C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2C45"/>
  </w:style>
  <w:style w:type="paragraph" w:styleId="Piedepgina">
    <w:name w:val="footer"/>
    <w:basedOn w:val="Normal"/>
    <w:link w:val="PiedepginaCar"/>
    <w:uiPriority w:val="99"/>
    <w:unhideWhenUsed/>
    <w:rsid w:val="005A2C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2C45"/>
  </w:style>
  <w:style w:type="character" w:styleId="Nmerodepgina">
    <w:name w:val="page number"/>
    <w:basedOn w:val="Fuentedeprrafopredeter"/>
    <w:uiPriority w:val="99"/>
    <w:unhideWhenUsed/>
    <w:rsid w:val="00E12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9B0820"/>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A6BF0"/>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E32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20D2"/>
    <w:rPr>
      <w:rFonts w:ascii="Tahoma" w:hAnsi="Tahoma" w:cs="Tahoma"/>
      <w:sz w:val="16"/>
      <w:szCs w:val="16"/>
    </w:rPr>
  </w:style>
  <w:style w:type="paragraph" w:styleId="Prrafodelista">
    <w:name w:val="List Paragraph"/>
    <w:basedOn w:val="Normal"/>
    <w:uiPriority w:val="34"/>
    <w:qFormat/>
    <w:rsid w:val="00770652"/>
    <w:pPr>
      <w:ind w:left="720"/>
      <w:contextualSpacing/>
    </w:pPr>
  </w:style>
  <w:style w:type="character" w:customStyle="1" w:styleId="Ttulo3Car">
    <w:name w:val="Título 3 Car"/>
    <w:basedOn w:val="Fuentedeprrafopredeter"/>
    <w:link w:val="Ttulo3"/>
    <w:uiPriority w:val="9"/>
    <w:rsid w:val="009B0820"/>
    <w:rPr>
      <w:rFonts w:ascii="Times New Roman" w:eastAsia="Times New Roman" w:hAnsi="Times New Roman" w:cs="Times New Roman"/>
      <w:b/>
      <w:bCs/>
      <w:sz w:val="27"/>
      <w:szCs w:val="27"/>
      <w:lang w:eastAsia="es-ES"/>
    </w:rPr>
  </w:style>
  <w:style w:type="character" w:customStyle="1" w:styleId="apple-converted-space">
    <w:name w:val="apple-converted-space"/>
    <w:basedOn w:val="Fuentedeprrafopredeter"/>
    <w:rsid w:val="00915A25"/>
  </w:style>
  <w:style w:type="character" w:styleId="Hipervnculo">
    <w:name w:val="Hyperlink"/>
    <w:basedOn w:val="Fuentedeprrafopredeter"/>
    <w:uiPriority w:val="99"/>
    <w:unhideWhenUsed/>
    <w:rsid w:val="002941B0"/>
    <w:rPr>
      <w:color w:val="0000FF" w:themeColor="hyperlink"/>
      <w:u w:val="single"/>
    </w:rPr>
  </w:style>
  <w:style w:type="paragraph" w:styleId="Encabezado">
    <w:name w:val="header"/>
    <w:basedOn w:val="Normal"/>
    <w:link w:val="EncabezadoCar"/>
    <w:uiPriority w:val="99"/>
    <w:unhideWhenUsed/>
    <w:rsid w:val="005A2C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2C45"/>
  </w:style>
  <w:style w:type="paragraph" w:styleId="Piedepgina">
    <w:name w:val="footer"/>
    <w:basedOn w:val="Normal"/>
    <w:link w:val="PiedepginaCar"/>
    <w:uiPriority w:val="99"/>
    <w:unhideWhenUsed/>
    <w:rsid w:val="005A2C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2C45"/>
  </w:style>
  <w:style w:type="character" w:styleId="Nmerodepgina">
    <w:name w:val="page number"/>
    <w:basedOn w:val="Fuentedeprrafopredeter"/>
    <w:uiPriority w:val="99"/>
    <w:unhideWhenUsed/>
    <w:rsid w:val="00E12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278047">
      <w:bodyDiv w:val="1"/>
      <w:marLeft w:val="0"/>
      <w:marRight w:val="0"/>
      <w:marTop w:val="0"/>
      <w:marBottom w:val="0"/>
      <w:divBdr>
        <w:top w:val="none" w:sz="0" w:space="0" w:color="auto"/>
        <w:left w:val="none" w:sz="0" w:space="0" w:color="auto"/>
        <w:bottom w:val="none" w:sz="0" w:space="0" w:color="auto"/>
        <w:right w:val="none" w:sz="0" w:space="0" w:color="auto"/>
      </w:divBdr>
    </w:div>
    <w:div w:id="738871849">
      <w:bodyDiv w:val="1"/>
      <w:marLeft w:val="0"/>
      <w:marRight w:val="0"/>
      <w:marTop w:val="0"/>
      <w:marBottom w:val="0"/>
      <w:divBdr>
        <w:top w:val="none" w:sz="0" w:space="0" w:color="auto"/>
        <w:left w:val="none" w:sz="0" w:space="0" w:color="auto"/>
        <w:bottom w:val="none" w:sz="0" w:space="0" w:color="auto"/>
        <w:right w:val="none" w:sz="0" w:space="0" w:color="auto"/>
      </w:divBdr>
    </w:div>
    <w:div w:id="1291209688">
      <w:bodyDiv w:val="1"/>
      <w:marLeft w:val="0"/>
      <w:marRight w:val="0"/>
      <w:marTop w:val="0"/>
      <w:marBottom w:val="0"/>
      <w:divBdr>
        <w:top w:val="none" w:sz="0" w:space="0" w:color="auto"/>
        <w:left w:val="none" w:sz="0" w:space="0" w:color="auto"/>
        <w:bottom w:val="none" w:sz="0" w:space="0" w:color="auto"/>
        <w:right w:val="none" w:sz="0" w:space="0" w:color="auto"/>
      </w:divBdr>
    </w:div>
    <w:div w:id="1789011869">
      <w:bodyDiv w:val="1"/>
      <w:marLeft w:val="0"/>
      <w:marRight w:val="0"/>
      <w:marTop w:val="0"/>
      <w:marBottom w:val="0"/>
      <w:divBdr>
        <w:top w:val="none" w:sz="0" w:space="0" w:color="auto"/>
        <w:left w:val="none" w:sz="0" w:space="0" w:color="auto"/>
        <w:bottom w:val="none" w:sz="0" w:space="0" w:color="auto"/>
        <w:right w:val="none" w:sz="0" w:space="0" w:color="auto"/>
      </w:divBdr>
    </w:div>
    <w:div w:id="2121096770">
      <w:bodyDiv w:val="1"/>
      <w:marLeft w:val="0"/>
      <w:marRight w:val="0"/>
      <w:marTop w:val="0"/>
      <w:marBottom w:val="0"/>
      <w:divBdr>
        <w:top w:val="none" w:sz="0" w:space="0" w:color="auto"/>
        <w:left w:val="none" w:sz="0" w:space="0" w:color="auto"/>
        <w:bottom w:val="none" w:sz="0" w:space="0" w:color="auto"/>
        <w:right w:val="none" w:sz="0" w:space="0" w:color="auto"/>
      </w:divBdr>
      <w:divsChild>
        <w:div w:id="2134710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bolca.com/2015/01/construccion-mantiene-su-ritmo-de_14.html"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la-razon.com/index.php?_url=/economia/Sector-construccion-preve-ano-crecimiento_0_2011598899.html"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dape.gob.bo/portales_html/diagnosticos/documentos/TOMO%20X%20-%20SECTOR%20CONSTRUCCI%C3%93N.pd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rbol.com.bo/noticia/economia/10012014/caboco_sector_construccion_crecio_un_76_en_2013" TargetMode="External"/><Relationship Id="rId2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1B0B6-2B47-4ACF-BC8A-604013D4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2938</Words>
  <Characters>16165</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Pc_6</dc:creator>
  <cp:lastModifiedBy>CARLOS</cp:lastModifiedBy>
  <cp:revision>2</cp:revision>
  <cp:lastPrinted>2015-09-25T13:56:00Z</cp:lastPrinted>
  <dcterms:created xsi:type="dcterms:W3CDTF">2015-09-28T18:31:00Z</dcterms:created>
  <dcterms:modified xsi:type="dcterms:W3CDTF">2015-09-28T18:31:00Z</dcterms:modified>
</cp:coreProperties>
</file>